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AA5E" w14:textId="77777777" w:rsidR="007C5671" w:rsidRPr="000B6225" w:rsidRDefault="007C5671" w:rsidP="007C5671">
      <w:pPr>
        <w:keepNext/>
        <w:keepLines/>
        <w:spacing w:before="200" w:after="120" w:line="259" w:lineRule="auto"/>
        <w:outlineLvl w:val="1"/>
        <w:rPr>
          <w:rFonts w:eastAsia="DengXian Light" w:cs="Times New Roman"/>
          <w:b/>
          <w:bCs/>
          <w:color w:val="4472C4"/>
          <w:szCs w:val="26"/>
          <w:lang w:eastAsia="en-US"/>
        </w:rPr>
      </w:pPr>
      <w:bookmarkStart w:id="0" w:name="_Toc493850707"/>
      <w:r w:rsidRPr="000B6225">
        <w:rPr>
          <w:rFonts w:eastAsia="Times New Roman" w:cs="Times New Roman"/>
          <w:bCs/>
          <w:color w:val="4472C4"/>
          <w:szCs w:val="26"/>
          <w:lang w:eastAsia="en-US"/>
        </w:rPr>
        <w:t>Doctoral Researcher Induction Checklist</w:t>
      </w:r>
      <w:bookmarkEnd w:id="0"/>
    </w:p>
    <w:p w14:paraId="67C1C864"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It is the responsibility of the Doctoral Researcher to undertake wider induction activities and gather information about their doctorate.  This may be achieved through School and University-level inductions, or through meeting with the appropriate person (e.g. departmental health and safety officer).  Where the student is unsure where to find the appropriate information, the supervisor should advise on the best source, but is not expected to provide all information.</w:t>
      </w:r>
    </w:p>
    <w:p w14:paraId="103181EB"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This section should be completed within the first eight weeks from commencement of research programme and uploaded to Co-Tutor for discussion at the six-month review.  </w:t>
      </w:r>
    </w:p>
    <w:p w14:paraId="5651C2D3"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t>Personal Development</w:t>
      </w:r>
    </w:p>
    <w:p w14:paraId="19AC0A2C"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Personal development is a key part of any doctoral programme. This should be discussed with students in light of their own development and the research project. This could include but is not limited to future needs of supervisors in teaching support or other projects. It offers the chance to develop holistic researchers prepared for a successful career whether in academia or beyond after successful completion of their doctorate. Please indicate once actions have been completed.</w:t>
      </w:r>
    </w:p>
    <w:tbl>
      <w:tblPr>
        <w:tblStyle w:val="TableGrid"/>
        <w:tblW w:w="9493" w:type="dxa"/>
        <w:tblLook w:val="04A0" w:firstRow="1" w:lastRow="0" w:firstColumn="1" w:lastColumn="0" w:noHBand="0" w:noVBand="1"/>
      </w:tblPr>
      <w:tblGrid>
        <w:gridCol w:w="2376"/>
        <w:gridCol w:w="6266"/>
        <w:gridCol w:w="851"/>
      </w:tblGrid>
      <w:tr w:rsidR="007C5671" w:rsidRPr="000B6225" w14:paraId="5192B21D" w14:textId="77777777" w:rsidTr="00175B1E">
        <w:tc>
          <w:tcPr>
            <w:tcW w:w="2376" w:type="dxa"/>
          </w:tcPr>
          <w:p w14:paraId="780EF493" w14:textId="77777777" w:rsidR="007C5671" w:rsidRPr="000B6225" w:rsidRDefault="007C5671" w:rsidP="00D376F4">
            <w:pPr>
              <w:rPr>
                <w:sz w:val="22"/>
                <w:szCs w:val="22"/>
              </w:rPr>
            </w:pPr>
          </w:p>
        </w:tc>
        <w:tc>
          <w:tcPr>
            <w:tcW w:w="6266" w:type="dxa"/>
          </w:tcPr>
          <w:p w14:paraId="70C9AD40" w14:textId="77777777" w:rsidR="007C5671" w:rsidRPr="000B6225" w:rsidRDefault="007C5671" w:rsidP="00D376F4">
            <w:pPr>
              <w:rPr>
                <w:b/>
                <w:sz w:val="22"/>
                <w:szCs w:val="22"/>
              </w:rPr>
            </w:pPr>
            <w:r w:rsidRPr="000B6225">
              <w:rPr>
                <w:b/>
                <w:sz w:val="22"/>
                <w:szCs w:val="22"/>
              </w:rPr>
              <w:t>Action Required</w:t>
            </w:r>
          </w:p>
        </w:tc>
        <w:tc>
          <w:tcPr>
            <w:tcW w:w="851" w:type="dxa"/>
          </w:tcPr>
          <w:p w14:paraId="04086837" w14:textId="77777777" w:rsidR="007C5671" w:rsidRPr="000B6225" w:rsidRDefault="007C5671" w:rsidP="00D376F4">
            <w:pPr>
              <w:jc w:val="center"/>
              <w:rPr>
                <w:sz w:val="22"/>
                <w:szCs w:val="22"/>
              </w:rPr>
            </w:pPr>
            <w:r w:rsidRPr="000B6225">
              <w:rPr>
                <w:sz w:val="22"/>
                <w:szCs w:val="22"/>
              </w:rPr>
              <w:sym w:font="Wingdings" w:char="F0FC"/>
            </w:r>
          </w:p>
        </w:tc>
      </w:tr>
      <w:tr w:rsidR="007C5671" w:rsidRPr="000B6225" w14:paraId="1949580F" w14:textId="77777777" w:rsidTr="00175B1E">
        <w:tc>
          <w:tcPr>
            <w:tcW w:w="2376" w:type="dxa"/>
          </w:tcPr>
          <w:p w14:paraId="03C7DBDB" w14:textId="77777777" w:rsidR="007C5671" w:rsidRPr="000B6225" w:rsidRDefault="007C5671" w:rsidP="00D376F4">
            <w:pPr>
              <w:rPr>
                <w:sz w:val="22"/>
                <w:szCs w:val="22"/>
              </w:rPr>
            </w:pPr>
            <w:r w:rsidRPr="000B6225">
              <w:rPr>
                <w:sz w:val="22"/>
                <w:szCs w:val="22"/>
              </w:rPr>
              <w:t>Department/School Induction</w:t>
            </w:r>
          </w:p>
        </w:tc>
        <w:tc>
          <w:tcPr>
            <w:tcW w:w="6266" w:type="dxa"/>
          </w:tcPr>
          <w:p w14:paraId="254A0174" w14:textId="77777777" w:rsidR="007C5671" w:rsidRPr="000B6225" w:rsidRDefault="007C5671" w:rsidP="00D376F4">
            <w:pPr>
              <w:rPr>
                <w:sz w:val="22"/>
                <w:szCs w:val="22"/>
              </w:rPr>
            </w:pPr>
            <w:r w:rsidRPr="000B6225">
              <w:rPr>
                <w:sz w:val="22"/>
                <w:szCs w:val="22"/>
              </w:rPr>
              <w:t xml:space="preserve">Student should be invited to attend the local induction to the department/School ideally within 4 weeks of arrival. If not possible to discuss with supervisor alternative sources of the appropriate information. </w:t>
            </w:r>
          </w:p>
        </w:tc>
        <w:tc>
          <w:tcPr>
            <w:tcW w:w="851" w:type="dxa"/>
          </w:tcPr>
          <w:p w14:paraId="23268F04" w14:textId="77777777" w:rsidR="007C5671" w:rsidRPr="000B6225" w:rsidRDefault="007C5671" w:rsidP="00D376F4">
            <w:pPr>
              <w:rPr>
                <w:sz w:val="22"/>
                <w:szCs w:val="22"/>
              </w:rPr>
            </w:pPr>
          </w:p>
        </w:tc>
      </w:tr>
      <w:tr w:rsidR="007C5671" w:rsidRPr="000B6225" w14:paraId="58E926D1" w14:textId="77777777" w:rsidTr="00175B1E">
        <w:tc>
          <w:tcPr>
            <w:tcW w:w="2376" w:type="dxa"/>
          </w:tcPr>
          <w:p w14:paraId="2DC3F57E" w14:textId="77777777" w:rsidR="007C5671" w:rsidRPr="000B6225" w:rsidRDefault="007C5671" w:rsidP="00D376F4">
            <w:pPr>
              <w:rPr>
                <w:sz w:val="22"/>
                <w:szCs w:val="22"/>
              </w:rPr>
            </w:pPr>
            <w:r w:rsidRPr="000B6225">
              <w:rPr>
                <w:sz w:val="22"/>
                <w:szCs w:val="22"/>
              </w:rPr>
              <w:t>Doctoral College Induction</w:t>
            </w:r>
          </w:p>
        </w:tc>
        <w:tc>
          <w:tcPr>
            <w:tcW w:w="6266" w:type="dxa"/>
          </w:tcPr>
          <w:p w14:paraId="51ADA589" w14:textId="38E53350" w:rsidR="007C5671" w:rsidRPr="00175B1E" w:rsidRDefault="00175B1E" w:rsidP="00175B1E">
            <w:pPr>
              <w:rPr>
                <w:sz w:val="22"/>
                <w:szCs w:val="22"/>
              </w:rPr>
            </w:pPr>
            <w:r w:rsidRPr="00175B1E">
              <w:rPr>
                <w:sz w:val="22"/>
                <w:szCs w:val="22"/>
              </w:rPr>
              <w:t>Student to book and attend the Doctoral College Induction - register through the Doctoral College Development Portal: (</w:t>
            </w:r>
            <w:hyperlink r:id="rId6" w:history="1">
              <w:r w:rsidRPr="00175B1E">
                <w:rPr>
                  <w:rStyle w:val="Hyperlink"/>
                  <w:sz w:val="22"/>
                  <w:szCs w:val="22"/>
                </w:rPr>
                <w:t>https://dcdp.lboro.ac.uk/</w:t>
              </w:r>
            </w:hyperlink>
            <w:r w:rsidRPr="00175B1E">
              <w:rPr>
                <w:sz w:val="22"/>
                <w:szCs w:val="22"/>
              </w:rPr>
              <w:t>).</w:t>
            </w:r>
          </w:p>
        </w:tc>
        <w:tc>
          <w:tcPr>
            <w:tcW w:w="851" w:type="dxa"/>
          </w:tcPr>
          <w:p w14:paraId="0DB44C8B" w14:textId="77777777" w:rsidR="007C5671" w:rsidRPr="000B6225" w:rsidRDefault="007C5671" w:rsidP="00D376F4">
            <w:pPr>
              <w:rPr>
                <w:sz w:val="22"/>
                <w:szCs w:val="22"/>
              </w:rPr>
            </w:pPr>
          </w:p>
        </w:tc>
      </w:tr>
      <w:tr w:rsidR="007C5671" w:rsidRPr="000B6225" w14:paraId="53A3D401" w14:textId="77777777" w:rsidTr="00175B1E">
        <w:tc>
          <w:tcPr>
            <w:tcW w:w="2376" w:type="dxa"/>
          </w:tcPr>
          <w:p w14:paraId="03831438" w14:textId="77777777" w:rsidR="007C5671" w:rsidRPr="000B6225" w:rsidRDefault="007C5671" w:rsidP="00D376F4">
            <w:pPr>
              <w:rPr>
                <w:sz w:val="22"/>
                <w:szCs w:val="22"/>
              </w:rPr>
            </w:pPr>
            <w:r w:rsidRPr="000B6225">
              <w:rPr>
                <w:sz w:val="22"/>
                <w:szCs w:val="22"/>
              </w:rPr>
              <w:t>Personal Development Planning</w:t>
            </w:r>
          </w:p>
        </w:tc>
        <w:tc>
          <w:tcPr>
            <w:tcW w:w="6266" w:type="dxa"/>
          </w:tcPr>
          <w:p w14:paraId="56AB5839" w14:textId="77777777" w:rsidR="007C5671" w:rsidRPr="000B6225" w:rsidRDefault="007C5671" w:rsidP="00D376F4">
            <w:pPr>
              <w:rPr>
                <w:sz w:val="22"/>
                <w:szCs w:val="22"/>
              </w:rPr>
            </w:pPr>
            <w:r w:rsidRPr="000B6225">
              <w:rPr>
                <w:sz w:val="22"/>
                <w:szCs w:val="22"/>
              </w:rPr>
              <w:t xml:space="preserve">The students should consider their personal development and training needs, which may be done in discussion with the supervisor. The student should produce a training needs analysis and to start a development plan to be further discussed at the next and future supervisory meetings. </w:t>
            </w:r>
          </w:p>
        </w:tc>
        <w:tc>
          <w:tcPr>
            <w:tcW w:w="851" w:type="dxa"/>
          </w:tcPr>
          <w:p w14:paraId="06645F2C" w14:textId="77777777" w:rsidR="007C5671" w:rsidRPr="000B6225" w:rsidRDefault="007C5671" w:rsidP="00D376F4">
            <w:pPr>
              <w:rPr>
                <w:sz w:val="22"/>
                <w:szCs w:val="22"/>
              </w:rPr>
            </w:pPr>
          </w:p>
        </w:tc>
      </w:tr>
      <w:tr w:rsidR="007C5671" w:rsidRPr="000B6225" w14:paraId="555F9857" w14:textId="77777777" w:rsidTr="00175B1E">
        <w:tc>
          <w:tcPr>
            <w:tcW w:w="2376" w:type="dxa"/>
          </w:tcPr>
          <w:p w14:paraId="4F090CF8" w14:textId="77777777" w:rsidR="007C5671" w:rsidRPr="000B6225" w:rsidRDefault="007C5671" w:rsidP="00D376F4">
            <w:pPr>
              <w:rPr>
                <w:sz w:val="22"/>
                <w:szCs w:val="22"/>
              </w:rPr>
            </w:pPr>
            <w:r w:rsidRPr="000B6225">
              <w:rPr>
                <w:sz w:val="22"/>
                <w:szCs w:val="22"/>
              </w:rPr>
              <w:t>Virtual Learning Environments</w:t>
            </w:r>
          </w:p>
        </w:tc>
        <w:tc>
          <w:tcPr>
            <w:tcW w:w="6266" w:type="dxa"/>
          </w:tcPr>
          <w:p w14:paraId="2943616F" w14:textId="77777777" w:rsidR="007C5671" w:rsidRPr="000B6225" w:rsidRDefault="007C5671" w:rsidP="00D376F4">
            <w:pPr>
              <w:rPr>
                <w:sz w:val="22"/>
                <w:szCs w:val="22"/>
              </w:rPr>
            </w:pPr>
            <w:r w:rsidRPr="000B6225">
              <w:rPr>
                <w:sz w:val="22"/>
                <w:szCs w:val="22"/>
              </w:rPr>
              <w:t>Student to investigate online resources such as that available on LEARN and other online learning resources as relevant to the student. Doctoral College website is a good starting point for this.</w:t>
            </w:r>
          </w:p>
        </w:tc>
        <w:tc>
          <w:tcPr>
            <w:tcW w:w="851" w:type="dxa"/>
          </w:tcPr>
          <w:p w14:paraId="18FDA2EA" w14:textId="77777777" w:rsidR="007C5671" w:rsidRPr="000B6225" w:rsidRDefault="007C5671" w:rsidP="00D376F4">
            <w:pPr>
              <w:rPr>
                <w:sz w:val="22"/>
                <w:szCs w:val="22"/>
              </w:rPr>
            </w:pPr>
          </w:p>
        </w:tc>
      </w:tr>
      <w:tr w:rsidR="007C5671" w:rsidRPr="000B6225" w14:paraId="5A2399AC" w14:textId="77777777" w:rsidTr="00175B1E">
        <w:tc>
          <w:tcPr>
            <w:tcW w:w="2376" w:type="dxa"/>
          </w:tcPr>
          <w:p w14:paraId="4F641753" w14:textId="77777777" w:rsidR="007C5671" w:rsidRPr="000B6225" w:rsidRDefault="007C5671" w:rsidP="00D376F4">
            <w:pPr>
              <w:rPr>
                <w:sz w:val="22"/>
                <w:szCs w:val="22"/>
              </w:rPr>
            </w:pPr>
            <w:r w:rsidRPr="000B6225">
              <w:rPr>
                <w:sz w:val="22"/>
                <w:szCs w:val="22"/>
              </w:rPr>
              <w:t>Discussion of Review Process</w:t>
            </w:r>
          </w:p>
        </w:tc>
        <w:tc>
          <w:tcPr>
            <w:tcW w:w="6266" w:type="dxa"/>
          </w:tcPr>
          <w:p w14:paraId="4DDF9D33" w14:textId="77777777" w:rsidR="007C5671" w:rsidRPr="000B6225" w:rsidRDefault="007C5671" w:rsidP="00D376F4">
            <w:pPr>
              <w:rPr>
                <w:sz w:val="22"/>
                <w:szCs w:val="22"/>
              </w:rPr>
            </w:pPr>
            <w:r w:rsidRPr="000B6225">
              <w:rPr>
                <w:sz w:val="22"/>
                <w:szCs w:val="22"/>
              </w:rPr>
              <w:t xml:space="preserve">Student to understand the progression requirements at 6 months and 10/12 months. Students should find this information in the programme handbook or similar resource within the School such as the Director of Doctoral Programmes.  Seek guidance from the supervisors on content of the review and timeline for submission. </w:t>
            </w:r>
          </w:p>
        </w:tc>
        <w:tc>
          <w:tcPr>
            <w:tcW w:w="851" w:type="dxa"/>
          </w:tcPr>
          <w:p w14:paraId="169E8366" w14:textId="77777777" w:rsidR="007C5671" w:rsidRPr="000B6225" w:rsidRDefault="007C5671" w:rsidP="00D376F4">
            <w:pPr>
              <w:rPr>
                <w:sz w:val="22"/>
                <w:szCs w:val="22"/>
              </w:rPr>
            </w:pPr>
          </w:p>
        </w:tc>
      </w:tr>
      <w:tr w:rsidR="007C5671" w:rsidRPr="000B6225" w14:paraId="1C407524" w14:textId="77777777" w:rsidTr="00175B1E">
        <w:tc>
          <w:tcPr>
            <w:tcW w:w="2376" w:type="dxa"/>
          </w:tcPr>
          <w:p w14:paraId="22CB4F7A" w14:textId="77777777" w:rsidR="007C5671" w:rsidRPr="000B6225" w:rsidRDefault="007C5671" w:rsidP="00D376F4">
            <w:pPr>
              <w:rPr>
                <w:sz w:val="22"/>
                <w:szCs w:val="22"/>
              </w:rPr>
            </w:pPr>
            <w:r w:rsidRPr="000B6225">
              <w:rPr>
                <w:sz w:val="22"/>
                <w:szCs w:val="22"/>
              </w:rPr>
              <w:t>Teaching</w:t>
            </w:r>
          </w:p>
        </w:tc>
        <w:tc>
          <w:tcPr>
            <w:tcW w:w="6266" w:type="dxa"/>
          </w:tcPr>
          <w:p w14:paraId="6CB4B5B0" w14:textId="77777777" w:rsidR="007C5671" w:rsidRPr="000B6225" w:rsidRDefault="007C5671" w:rsidP="00D376F4">
            <w:pPr>
              <w:rPr>
                <w:sz w:val="22"/>
                <w:szCs w:val="22"/>
              </w:rPr>
            </w:pPr>
            <w:r w:rsidRPr="000B6225">
              <w:rPr>
                <w:sz w:val="22"/>
                <w:szCs w:val="22"/>
              </w:rPr>
              <w:t xml:space="preserve">Students wishing to undertake teaching should investigate the minimum requirements for supporting teaching at the University, which includes attendance at the Essential Teaching Skills course run by the Doctoral College. Support from supervisory team should be sought to access appropriate teaching opportunities at an appropriate level for the student.  </w:t>
            </w:r>
          </w:p>
        </w:tc>
        <w:tc>
          <w:tcPr>
            <w:tcW w:w="851" w:type="dxa"/>
          </w:tcPr>
          <w:p w14:paraId="6BAB0DE2" w14:textId="77777777" w:rsidR="007C5671" w:rsidRPr="000B6225" w:rsidRDefault="007C5671" w:rsidP="00D376F4">
            <w:pPr>
              <w:rPr>
                <w:sz w:val="22"/>
                <w:szCs w:val="22"/>
              </w:rPr>
            </w:pPr>
          </w:p>
        </w:tc>
      </w:tr>
      <w:tr w:rsidR="007C5671" w:rsidRPr="000B6225" w14:paraId="4382A70F" w14:textId="77777777" w:rsidTr="00175B1E">
        <w:tc>
          <w:tcPr>
            <w:tcW w:w="2376" w:type="dxa"/>
          </w:tcPr>
          <w:p w14:paraId="6FDA980D" w14:textId="77777777" w:rsidR="007C5671" w:rsidRPr="000B6225" w:rsidRDefault="007C5671" w:rsidP="00D376F4">
            <w:pPr>
              <w:rPr>
                <w:sz w:val="22"/>
                <w:szCs w:val="22"/>
              </w:rPr>
            </w:pPr>
            <w:r w:rsidRPr="000B6225">
              <w:rPr>
                <w:sz w:val="22"/>
                <w:szCs w:val="22"/>
              </w:rPr>
              <w:t>Other Responsibilities</w:t>
            </w:r>
          </w:p>
        </w:tc>
        <w:tc>
          <w:tcPr>
            <w:tcW w:w="6266" w:type="dxa"/>
          </w:tcPr>
          <w:p w14:paraId="300830D8" w14:textId="77777777" w:rsidR="007C5671" w:rsidRPr="000B6225" w:rsidRDefault="007C5671" w:rsidP="00D376F4">
            <w:pPr>
              <w:rPr>
                <w:sz w:val="22"/>
                <w:szCs w:val="22"/>
              </w:rPr>
            </w:pPr>
            <w:r w:rsidRPr="000B6225">
              <w:rPr>
                <w:sz w:val="22"/>
                <w:szCs w:val="22"/>
              </w:rPr>
              <w:t xml:space="preserve">Students should seek to understand other expectations associated with their role and related to their research project support, enterprise, outreach activities where appropriate. </w:t>
            </w:r>
          </w:p>
        </w:tc>
        <w:tc>
          <w:tcPr>
            <w:tcW w:w="851" w:type="dxa"/>
          </w:tcPr>
          <w:p w14:paraId="4546ADB4" w14:textId="77777777" w:rsidR="007C5671" w:rsidRPr="000B6225" w:rsidRDefault="007C5671" w:rsidP="00D376F4">
            <w:pPr>
              <w:rPr>
                <w:sz w:val="22"/>
                <w:szCs w:val="22"/>
              </w:rPr>
            </w:pPr>
          </w:p>
        </w:tc>
      </w:tr>
    </w:tbl>
    <w:p w14:paraId="064FCE08" w14:textId="77777777" w:rsidR="007C5671" w:rsidRPr="000B6225" w:rsidRDefault="007C5671" w:rsidP="007C5671">
      <w:pPr>
        <w:spacing w:after="160" w:line="259" w:lineRule="auto"/>
        <w:rPr>
          <w:rFonts w:eastAsia="Calibri"/>
          <w:b/>
          <w:sz w:val="22"/>
          <w:szCs w:val="22"/>
          <w:u w:val="single"/>
          <w:lang w:eastAsia="en-US"/>
        </w:rPr>
      </w:pPr>
      <w:r w:rsidRPr="000B6225">
        <w:rPr>
          <w:rFonts w:eastAsia="Calibri"/>
          <w:b/>
          <w:sz w:val="22"/>
          <w:szCs w:val="22"/>
          <w:u w:val="single"/>
          <w:lang w:eastAsia="en-US"/>
        </w:rPr>
        <w:lastRenderedPageBreak/>
        <w:t>Research Culture</w:t>
      </w:r>
    </w:p>
    <w:p w14:paraId="3E9FCBBE"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A significant part of any doctoral experience is the local (departmental/school), University and national research culture/ dissemination. You should seek out information on the opportunities listed below and make some brief notes. Supervisors should support doctoral researchers to engage with appropriate activities and opportunities for development. </w:t>
      </w:r>
    </w:p>
    <w:tbl>
      <w:tblPr>
        <w:tblStyle w:val="TableGrid"/>
        <w:tblW w:w="0" w:type="auto"/>
        <w:tblLook w:val="04A0" w:firstRow="1" w:lastRow="0" w:firstColumn="1" w:lastColumn="0" w:noHBand="0" w:noVBand="1"/>
      </w:tblPr>
      <w:tblGrid>
        <w:gridCol w:w="1980"/>
        <w:gridCol w:w="3544"/>
        <w:gridCol w:w="3492"/>
      </w:tblGrid>
      <w:tr w:rsidR="007C5671" w:rsidRPr="000B6225" w14:paraId="4194FF5A" w14:textId="77777777" w:rsidTr="00175B1E">
        <w:tc>
          <w:tcPr>
            <w:tcW w:w="1980" w:type="dxa"/>
          </w:tcPr>
          <w:p w14:paraId="135812C4" w14:textId="77777777" w:rsidR="007C5671" w:rsidRPr="000B6225" w:rsidRDefault="007C5671" w:rsidP="00D376F4">
            <w:pPr>
              <w:rPr>
                <w:sz w:val="22"/>
                <w:szCs w:val="22"/>
              </w:rPr>
            </w:pPr>
            <w:r w:rsidRPr="000B6225">
              <w:rPr>
                <w:sz w:val="22"/>
                <w:szCs w:val="22"/>
              </w:rPr>
              <w:t xml:space="preserve"> </w:t>
            </w:r>
          </w:p>
        </w:tc>
        <w:tc>
          <w:tcPr>
            <w:tcW w:w="3544" w:type="dxa"/>
          </w:tcPr>
          <w:p w14:paraId="34D49B68" w14:textId="77777777" w:rsidR="007C5671" w:rsidRPr="000B6225" w:rsidRDefault="007C5671" w:rsidP="00D376F4">
            <w:pPr>
              <w:rPr>
                <w:b/>
                <w:sz w:val="22"/>
                <w:szCs w:val="22"/>
              </w:rPr>
            </w:pPr>
            <w:r w:rsidRPr="000B6225">
              <w:rPr>
                <w:b/>
                <w:sz w:val="22"/>
                <w:szCs w:val="22"/>
              </w:rPr>
              <w:t>Action Required</w:t>
            </w:r>
          </w:p>
        </w:tc>
        <w:tc>
          <w:tcPr>
            <w:tcW w:w="3492" w:type="dxa"/>
          </w:tcPr>
          <w:p w14:paraId="5B5AB314" w14:textId="77777777" w:rsidR="007C5671" w:rsidRPr="000B6225" w:rsidRDefault="007C5671" w:rsidP="00D376F4">
            <w:pPr>
              <w:rPr>
                <w:b/>
                <w:sz w:val="22"/>
                <w:szCs w:val="22"/>
              </w:rPr>
            </w:pPr>
            <w:r w:rsidRPr="000B6225">
              <w:rPr>
                <w:b/>
                <w:sz w:val="22"/>
                <w:szCs w:val="22"/>
              </w:rPr>
              <w:t xml:space="preserve">Notes </w:t>
            </w:r>
          </w:p>
        </w:tc>
      </w:tr>
      <w:tr w:rsidR="007C5671" w:rsidRPr="000B6225" w14:paraId="75E8F29C" w14:textId="77777777" w:rsidTr="00175B1E">
        <w:tc>
          <w:tcPr>
            <w:tcW w:w="1980" w:type="dxa"/>
          </w:tcPr>
          <w:p w14:paraId="0C14E78E" w14:textId="77777777" w:rsidR="007C5671" w:rsidRPr="000B6225" w:rsidRDefault="007C5671" w:rsidP="00D376F4">
            <w:pPr>
              <w:rPr>
                <w:sz w:val="22"/>
                <w:szCs w:val="22"/>
              </w:rPr>
            </w:pPr>
            <w:r w:rsidRPr="000B6225">
              <w:rPr>
                <w:sz w:val="22"/>
                <w:szCs w:val="22"/>
              </w:rPr>
              <w:t>Seminars</w:t>
            </w:r>
          </w:p>
        </w:tc>
        <w:tc>
          <w:tcPr>
            <w:tcW w:w="3544" w:type="dxa"/>
          </w:tcPr>
          <w:p w14:paraId="1903ED7B" w14:textId="77777777" w:rsidR="007C5671" w:rsidRPr="000B6225" w:rsidRDefault="007C5671" w:rsidP="00D376F4">
            <w:pPr>
              <w:rPr>
                <w:sz w:val="22"/>
                <w:szCs w:val="22"/>
              </w:rPr>
            </w:pPr>
            <w:r w:rsidRPr="000B6225">
              <w:rPr>
                <w:sz w:val="22"/>
                <w:szCs w:val="22"/>
              </w:rPr>
              <w:t>Doctoral researchers should seek to attend a broad range of seminars within their School and beyond.  This increases a breadth of knowledge and helps to develop new ideas.  Doctoral Students should seek information about seminars within the University.  It may be helpful to retain a record of seminars attended.</w:t>
            </w:r>
          </w:p>
        </w:tc>
        <w:tc>
          <w:tcPr>
            <w:tcW w:w="3492" w:type="dxa"/>
          </w:tcPr>
          <w:p w14:paraId="46BA58AE" w14:textId="77777777" w:rsidR="007C5671" w:rsidRPr="000B6225" w:rsidRDefault="007C5671" w:rsidP="00D376F4">
            <w:pPr>
              <w:rPr>
                <w:sz w:val="22"/>
                <w:szCs w:val="22"/>
              </w:rPr>
            </w:pPr>
          </w:p>
        </w:tc>
      </w:tr>
      <w:tr w:rsidR="007C5671" w:rsidRPr="000B6225" w14:paraId="15BE3925" w14:textId="77777777" w:rsidTr="00175B1E">
        <w:tc>
          <w:tcPr>
            <w:tcW w:w="1980" w:type="dxa"/>
          </w:tcPr>
          <w:p w14:paraId="04B03DFE" w14:textId="77777777" w:rsidR="007C5671" w:rsidRPr="000B6225" w:rsidRDefault="007C5671" w:rsidP="00D376F4">
            <w:pPr>
              <w:rPr>
                <w:sz w:val="22"/>
                <w:szCs w:val="22"/>
              </w:rPr>
            </w:pPr>
            <w:r w:rsidRPr="000B6225">
              <w:rPr>
                <w:sz w:val="22"/>
                <w:szCs w:val="22"/>
              </w:rPr>
              <w:t>School/ University Research Events</w:t>
            </w:r>
          </w:p>
        </w:tc>
        <w:tc>
          <w:tcPr>
            <w:tcW w:w="3544" w:type="dxa"/>
          </w:tcPr>
          <w:p w14:paraId="7846DB5D" w14:textId="77777777" w:rsidR="007C5671" w:rsidRPr="000B6225" w:rsidRDefault="007C5671" w:rsidP="00D376F4">
            <w:pPr>
              <w:rPr>
                <w:sz w:val="22"/>
                <w:szCs w:val="22"/>
              </w:rPr>
            </w:pPr>
            <w:r w:rsidRPr="000B6225">
              <w:rPr>
                <w:sz w:val="22"/>
                <w:szCs w:val="22"/>
              </w:rPr>
              <w:t>Doctoral researchers are expected to engage with a wide variety of research events in the University to contribute to the wider research culture and even to present and showcase their work. Opportunities may be within an academic School or through the Doctoral College.</w:t>
            </w:r>
          </w:p>
        </w:tc>
        <w:tc>
          <w:tcPr>
            <w:tcW w:w="3492" w:type="dxa"/>
          </w:tcPr>
          <w:p w14:paraId="515A716D" w14:textId="77777777" w:rsidR="007C5671" w:rsidRPr="000B6225" w:rsidRDefault="007C5671" w:rsidP="00D376F4">
            <w:pPr>
              <w:rPr>
                <w:sz w:val="22"/>
                <w:szCs w:val="22"/>
              </w:rPr>
            </w:pPr>
          </w:p>
        </w:tc>
      </w:tr>
      <w:tr w:rsidR="007C5671" w:rsidRPr="000B6225" w14:paraId="0D4FB1E7" w14:textId="77777777" w:rsidTr="00175B1E">
        <w:tc>
          <w:tcPr>
            <w:tcW w:w="1980" w:type="dxa"/>
          </w:tcPr>
          <w:p w14:paraId="3DA2EC0D" w14:textId="77777777" w:rsidR="007C5671" w:rsidRPr="000B6225" w:rsidRDefault="007C5671" w:rsidP="00D376F4">
            <w:pPr>
              <w:rPr>
                <w:sz w:val="22"/>
                <w:szCs w:val="22"/>
              </w:rPr>
            </w:pPr>
            <w:r w:rsidRPr="000B6225">
              <w:rPr>
                <w:sz w:val="22"/>
                <w:szCs w:val="22"/>
              </w:rPr>
              <w:t>Opportunities for research dissemination</w:t>
            </w:r>
          </w:p>
        </w:tc>
        <w:tc>
          <w:tcPr>
            <w:tcW w:w="3544" w:type="dxa"/>
          </w:tcPr>
          <w:p w14:paraId="2E467DA0" w14:textId="77777777" w:rsidR="007C5671" w:rsidRPr="000B6225" w:rsidRDefault="007C5671" w:rsidP="00D376F4">
            <w:pPr>
              <w:rPr>
                <w:sz w:val="22"/>
                <w:szCs w:val="22"/>
              </w:rPr>
            </w:pPr>
            <w:r w:rsidRPr="000B6225">
              <w:rPr>
                <w:sz w:val="22"/>
                <w:szCs w:val="22"/>
              </w:rPr>
              <w:t>Doctoral researchers should consider and discuss with their supervisor and other colleagues opportunities to disseminate their research and the appropriate platform/stage/format to do this.</w:t>
            </w:r>
          </w:p>
        </w:tc>
        <w:tc>
          <w:tcPr>
            <w:tcW w:w="3492" w:type="dxa"/>
          </w:tcPr>
          <w:p w14:paraId="614E20DD" w14:textId="77777777" w:rsidR="007C5671" w:rsidRPr="000B6225" w:rsidRDefault="007C5671" w:rsidP="00D376F4">
            <w:pPr>
              <w:rPr>
                <w:sz w:val="22"/>
                <w:szCs w:val="22"/>
              </w:rPr>
            </w:pPr>
          </w:p>
        </w:tc>
      </w:tr>
      <w:tr w:rsidR="007C5671" w:rsidRPr="000B6225" w14:paraId="00A5C7C3" w14:textId="77777777" w:rsidTr="00175B1E">
        <w:tc>
          <w:tcPr>
            <w:tcW w:w="1980" w:type="dxa"/>
          </w:tcPr>
          <w:p w14:paraId="4568A8CF" w14:textId="77777777" w:rsidR="007C5671" w:rsidRPr="000B6225" w:rsidRDefault="007C5671" w:rsidP="00D376F4">
            <w:pPr>
              <w:rPr>
                <w:sz w:val="22"/>
                <w:szCs w:val="22"/>
              </w:rPr>
            </w:pPr>
            <w:r w:rsidRPr="000B6225">
              <w:rPr>
                <w:sz w:val="22"/>
                <w:szCs w:val="22"/>
              </w:rPr>
              <w:t>Research groups</w:t>
            </w:r>
          </w:p>
        </w:tc>
        <w:tc>
          <w:tcPr>
            <w:tcW w:w="3544" w:type="dxa"/>
          </w:tcPr>
          <w:p w14:paraId="5B20E863" w14:textId="77777777" w:rsidR="007C5671" w:rsidRPr="000B6225" w:rsidRDefault="007C5671" w:rsidP="00D376F4">
            <w:pPr>
              <w:rPr>
                <w:sz w:val="22"/>
                <w:szCs w:val="22"/>
              </w:rPr>
            </w:pPr>
            <w:r w:rsidRPr="000B6225">
              <w:rPr>
                <w:sz w:val="22"/>
                <w:szCs w:val="22"/>
              </w:rPr>
              <w:t>Doctoral researchers may contribute to local research groups/discussions/journal clubs within their School or discipline area or beyond.  Supervisors and other colleagues should be able to advise on opportunities or groups to join.</w:t>
            </w:r>
          </w:p>
        </w:tc>
        <w:tc>
          <w:tcPr>
            <w:tcW w:w="3492" w:type="dxa"/>
          </w:tcPr>
          <w:p w14:paraId="187FF9FB" w14:textId="77777777" w:rsidR="007C5671" w:rsidRPr="000B6225" w:rsidRDefault="007C5671" w:rsidP="00D376F4">
            <w:pPr>
              <w:rPr>
                <w:sz w:val="22"/>
                <w:szCs w:val="22"/>
              </w:rPr>
            </w:pPr>
          </w:p>
        </w:tc>
      </w:tr>
      <w:tr w:rsidR="007C5671" w:rsidRPr="000B6225" w14:paraId="7726C6F4" w14:textId="77777777" w:rsidTr="00175B1E">
        <w:tc>
          <w:tcPr>
            <w:tcW w:w="1980" w:type="dxa"/>
          </w:tcPr>
          <w:p w14:paraId="72ED3271" w14:textId="77777777" w:rsidR="007C5671" w:rsidRPr="000B6225" w:rsidRDefault="007C5671" w:rsidP="00D376F4">
            <w:pPr>
              <w:rPr>
                <w:sz w:val="22"/>
                <w:szCs w:val="22"/>
              </w:rPr>
            </w:pPr>
            <w:r w:rsidRPr="000B6225">
              <w:rPr>
                <w:sz w:val="22"/>
                <w:szCs w:val="22"/>
              </w:rPr>
              <w:t>Regular non-academic events  within the School or University</w:t>
            </w:r>
          </w:p>
        </w:tc>
        <w:tc>
          <w:tcPr>
            <w:tcW w:w="3544" w:type="dxa"/>
          </w:tcPr>
          <w:p w14:paraId="10B51882" w14:textId="3FFA418C" w:rsidR="007C5671" w:rsidRPr="000B6225" w:rsidRDefault="007C5671" w:rsidP="00D376F4">
            <w:pPr>
              <w:rPr>
                <w:sz w:val="22"/>
                <w:szCs w:val="22"/>
              </w:rPr>
            </w:pPr>
            <w:r w:rsidRPr="000B6225">
              <w:rPr>
                <w:sz w:val="22"/>
                <w:szCs w:val="22"/>
              </w:rPr>
              <w:t xml:space="preserve">Doctoral Researchers should investigate the opportunity for less formal networking within the School and University which may include regular social activities such as those organised by Loughborough Students’ Union and PhD </w:t>
            </w:r>
            <w:r w:rsidR="00175B1E" w:rsidRPr="000B6225">
              <w:rPr>
                <w:sz w:val="22"/>
                <w:szCs w:val="22"/>
              </w:rPr>
              <w:t xml:space="preserve">Social </w:t>
            </w:r>
            <w:r w:rsidRPr="000B6225">
              <w:rPr>
                <w:sz w:val="22"/>
                <w:szCs w:val="22"/>
              </w:rPr>
              <w:t xml:space="preserve">and </w:t>
            </w:r>
            <w:r w:rsidR="00175B1E" w:rsidRPr="000B6225">
              <w:rPr>
                <w:sz w:val="22"/>
                <w:szCs w:val="22"/>
              </w:rPr>
              <w:t xml:space="preserve">Support </w:t>
            </w:r>
            <w:r w:rsidRPr="000B6225">
              <w:rPr>
                <w:sz w:val="22"/>
                <w:szCs w:val="22"/>
              </w:rPr>
              <w:t>Network weekly meetings in Graduate House.</w:t>
            </w:r>
          </w:p>
        </w:tc>
        <w:tc>
          <w:tcPr>
            <w:tcW w:w="3492" w:type="dxa"/>
          </w:tcPr>
          <w:p w14:paraId="0E79F132" w14:textId="77777777" w:rsidR="007C5671" w:rsidRPr="000B6225" w:rsidRDefault="007C5671" w:rsidP="00D376F4">
            <w:pPr>
              <w:rPr>
                <w:sz w:val="22"/>
                <w:szCs w:val="22"/>
              </w:rPr>
            </w:pPr>
          </w:p>
        </w:tc>
      </w:tr>
    </w:tbl>
    <w:p w14:paraId="25AB7CE6"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br w:type="page"/>
      </w:r>
    </w:p>
    <w:p w14:paraId="3EE33994"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lastRenderedPageBreak/>
        <w:t xml:space="preserve">Ethics/Health and Safety: </w:t>
      </w:r>
    </w:p>
    <w:p w14:paraId="2E24BB2F"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Please indicate once you have undertaken the actions below; any sections that are not applicable to you should be marked “n/a”.</w:t>
      </w:r>
    </w:p>
    <w:tbl>
      <w:tblPr>
        <w:tblStyle w:val="TableGrid"/>
        <w:tblW w:w="9113" w:type="dxa"/>
        <w:tblLook w:val="04A0" w:firstRow="1" w:lastRow="0" w:firstColumn="1" w:lastColumn="0" w:noHBand="0" w:noVBand="1"/>
      </w:tblPr>
      <w:tblGrid>
        <w:gridCol w:w="2234"/>
        <w:gridCol w:w="6490"/>
        <w:gridCol w:w="389"/>
      </w:tblGrid>
      <w:tr w:rsidR="007C5671" w:rsidRPr="000B6225" w14:paraId="7F24AA3A" w14:textId="77777777" w:rsidTr="00934711">
        <w:tc>
          <w:tcPr>
            <w:tcW w:w="2234" w:type="dxa"/>
          </w:tcPr>
          <w:p w14:paraId="522DBA70" w14:textId="77777777" w:rsidR="007C5671" w:rsidRPr="000B6225" w:rsidRDefault="007C5671" w:rsidP="00D376F4">
            <w:pPr>
              <w:rPr>
                <w:sz w:val="22"/>
                <w:szCs w:val="22"/>
              </w:rPr>
            </w:pPr>
          </w:p>
        </w:tc>
        <w:tc>
          <w:tcPr>
            <w:tcW w:w="6490" w:type="dxa"/>
          </w:tcPr>
          <w:p w14:paraId="3F5635A7" w14:textId="77777777" w:rsidR="007C5671" w:rsidRPr="000B6225" w:rsidRDefault="007C5671" w:rsidP="00D376F4">
            <w:pPr>
              <w:rPr>
                <w:b/>
                <w:sz w:val="22"/>
                <w:szCs w:val="22"/>
              </w:rPr>
            </w:pPr>
            <w:r w:rsidRPr="000B6225">
              <w:rPr>
                <w:b/>
                <w:sz w:val="22"/>
                <w:szCs w:val="22"/>
              </w:rPr>
              <w:t>Action Required</w:t>
            </w:r>
          </w:p>
        </w:tc>
        <w:tc>
          <w:tcPr>
            <w:tcW w:w="389" w:type="dxa"/>
          </w:tcPr>
          <w:p w14:paraId="69550EC6" w14:textId="77777777" w:rsidR="007C5671" w:rsidRPr="000B6225" w:rsidRDefault="007C5671" w:rsidP="00D376F4">
            <w:pPr>
              <w:rPr>
                <w:sz w:val="22"/>
                <w:szCs w:val="22"/>
              </w:rPr>
            </w:pPr>
            <w:r w:rsidRPr="000B6225">
              <w:rPr>
                <w:sz w:val="22"/>
                <w:szCs w:val="22"/>
              </w:rPr>
              <w:sym w:font="Wingdings" w:char="F0FC"/>
            </w:r>
          </w:p>
        </w:tc>
      </w:tr>
      <w:tr w:rsidR="007C5671" w:rsidRPr="000B6225" w14:paraId="688C85A2" w14:textId="77777777" w:rsidTr="00934711">
        <w:tc>
          <w:tcPr>
            <w:tcW w:w="2234" w:type="dxa"/>
          </w:tcPr>
          <w:p w14:paraId="3CA36D47" w14:textId="77777777" w:rsidR="007C5671" w:rsidRPr="000B6225" w:rsidRDefault="007C5671" w:rsidP="00D376F4">
            <w:pPr>
              <w:rPr>
                <w:sz w:val="22"/>
                <w:szCs w:val="22"/>
              </w:rPr>
            </w:pPr>
            <w:r w:rsidRPr="000B6225">
              <w:rPr>
                <w:sz w:val="22"/>
                <w:szCs w:val="22"/>
              </w:rPr>
              <w:t>Research Ethics Procedure</w:t>
            </w:r>
          </w:p>
        </w:tc>
        <w:tc>
          <w:tcPr>
            <w:tcW w:w="6490" w:type="dxa"/>
          </w:tcPr>
          <w:p w14:paraId="64A42085" w14:textId="4DE41573" w:rsidR="007C5671" w:rsidRPr="000B6225" w:rsidRDefault="007C5671" w:rsidP="00D376F4">
            <w:pPr>
              <w:rPr>
                <w:sz w:val="22"/>
                <w:szCs w:val="22"/>
              </w:rPr>
            </w:pPr>
            <w:r w:rsidRPr="000B6225">
              <w:rPr>
                <w:sz w:val="22"/>
                <w:szCs w:val="22"/>
              </w:rPr>
              <w:t xml:space="preserve">Doctoral </w:t>
            </w:r>
            <w:r w:rsidR="00934711">
              <w:rPr>
                <w:sz w:val="22"/>
                <w:szCs w:val="22"/>
              </w:rPr>
              <w:t>Researchers</w:t>
            </w:r>
            <w:r w:rsidRPr="000B6225">
              <w:rPr>
                <w:sz w:val="22"/>
                <w:szCs w:val="22"/>
              </w:rPr>
              <w:t xml:space="preserve"> should understand and follow the University procedures for research ethics approval.  An ethical approval checklist should be completed at the start of any research project and the process discussed with the Supervisory team prior to submission.</w:t>
            </w:r>
          </w:p>
        </w:tc>
        <w:tc>
          <w:tcPr>
            <w:tcW w:w="389" w:type="dxa"/>
          </w:tcPr>
          <w:p w14:paraId="07808575" w14:textId="77777777" w:rsidR="007C5671" w:rsidRPr="000B6225" w:rsidRDefault="007C5671" w:rsidP="00D376F4">
            <w:pPr>
              <w:rPr>
                <w:sz w:val="22"/>
                <w:szCs w:val="22"/>
              </w:rPr>
            </w:pPr>
          </w:p>
        </w:tc>
      </w:tr>
      <w:tr w:rsidR="007C5671" w:rsidRPr="000B6225" w14:paraId="231CD254" w14:textId="77777777" w:rsidTr="00934711">
        <w:tc>
          <w:tcPr>
            <w:tcW w:w="2234" w:type="dxa"/>
          </w:tcPr>
          <w:p w14:paraId="71EF9787" w14:textId="77777777" w:rsidR="007C5671" w:rsidRPr="000B6225" w:rsidRDefault="007C5671" w:rsidP="00D376F4">
            <w:pPr>
              <w:rPr>
                <w:sz w:val="22"/>
                <w:szCs w:val="22"/>
              </w:rPr>
            </w:pPr>
            <w:r w:rsidRPr="000B6225">
              <w:rPr>
                <w:sz w:val="22"/>
                <w:szCs w:val="22"/>
              </w:rPr>
              <w:t>Health and Safety Policy</w:t>
            </w:r>
          </w:p>
        </w:tc>
        <w:tc>
          <w:tcPr>
            <w:tcW w:w="6490" w:type="dxa"/>
          </w:tcPr>
          <w:p w14:paraId="0F9503AB" w14:textId="74134733" w:rsidR="007C5671" w:rsidRPr="000B6225" w:rsidRDefault="007C5671" w:rsidP="00D376F4">
            <w:pPr>
              <w:rPr>
                <w:sz w:val="22"/>
                <w:szCs w:val="22"/>
              </w:rPr>
            </w:pPr>
            <w:r w:rsidRPr="000B6225">
              <w:rPr>
                <w:sz w:val="22"/>
                <w:szCs w:val="22"/>
              </w:rPr>
              <w:t xml:space="preserve">Doctoral Researchers should be fully familiar with Health and Safety Policy and Procedures within the School.  With guidance from the Supervisors appropriate health and safety training should be undertaken.  </w:t>
            </w:r>
            <w:hyperlink r:id="rId7" w:history="1">
              <w:r w:rsidR="00175B1E" w:rsidRPr="00175B1E">
                <w:rPr>
                  <w:rStyle w:val="Hyperlink"/>
                  <w:sz w:val="22"/>
                  <w:szCs w:val="22"/>
                </w:rPr>
                <w:t>https://www.lboro.ac.uk/services/health-safety/</w:t>
              </w:r>
            </w:hyperlink>
          </w:p>
        </w:tc>
        <w:tc>
          <w:tcPr>
            <w:tcW w:w="389" w:type="dxa"/>
          </w:tcPr>
          <w:p w14:paraId="62BA60B4" w14:textId="77777777" w:rsidR="007C5671" w:rsidRPr="000B6225" w:rsidRDefault="007C5671" w:rsidP="00D376F4">
            <w:pPr>
              <w:rPr>
                <w:sz w:val="22"/>
                <w:szCs w:val="22"/>
              </w:rPr>
            </w:pPr>
          </w:p>
        </w:tc>
      </w:tr>
      <w:tr w:rsidR="007C5671" w:rsidRPr="000B6225" w14:paraId="227C8100" w14:textId="77777777" w:rsidTr="00934711">
        <w:tc>
          <w:tcPr>
            <w:tcW w:w="2234" w:type="dxa"/>
          </w:tcPr>
          <w:p w14:paraId="23BD9A70" w14:textId="77777777" w:rsidR="007C5671" w:rsidRPr="000B6225" w:rsidRDefault="007C5671" w:rsidP="00D376F4">
            <w:pPr>
              <w:rPr>
                <w:sz w:val="22"/>
                <w:szCs w:val="22"/>
              </w:rPr>
            </w:pPr>
            <w:r w:rsidRPr="000B6225">
              <w:rPr>
                <w:sz w:val="22"/>
                <w:szCs w:val="22"/>
              </w:rPr>
              <w:t>Fire: Emergency Exits, Evacuation Procedure</w:t>
            </w:r>
          </w:p>
        </w:tc>
        <w:tc>
          <w:tcPr>
            <w:tcW w:w="6490" w:type="dxa"/>
          </w:tcPr>
          <w:p w14:paraId="3BDA7DD3" w14:textId="5BC3F9EF" w:rsidR="007C5671" w:rsidRPr="000B6225" w:rsidRDefault="007C5671" w:rsidP="00D376F4">
            <w:pPr>
              <w:rPr>
                <w:sz w:val="22"/>
                <w:szCs w:val="22"/>
              </w:rPr>
            </w:pPr>
            <w:r w:rsidRPr="000B6225">
              <w:rPr>
                <w:sz w:val="22"/>
                <w:szCs w:val="22"/>
              </w:rPr>
              <w:t xml:space="preserve">Doctoral Researchers should ensure that they are familiar with fire exits in any appropriate buildings and where to go in the case of evacuation, understand procedures for raising alarm and the schedule of fire alarm testing in buildings as advised by the School Safety Officer (SSO). Supervisor to advise who the SSO is. Supervisors should check understanding. </w:t>
            </w:r>
            <w:hyperlink r:id="rId8" w:history="1">
              <w:r w:rsidR="00175B1E" w:rsidRPr="00175B1E">
                <w:rPr>
                  <w:rStyle w:val="Hyperlink"/>
                  <w:sz w:val="22"/>
                  <w:szCs w:val="22"/>
                </w:rPr>
                <w:t>https://www.lboro.ac.uk/services/health-safety/topics/fire/</w:t>
              </w:r>
            </w:hyperlink>
          </w:p>
        </w:tc>
        <w:tc>
          <w:tcPr>
            <w:tcW w:w="389" w:type="dxa"/>
          </w:tcPr>
          <w:p w14:paraId="4819D7E6" w14:textId="77777777" w:rsidR="007C5671" w:rsidRPr="000B6225" w:rsidRDefault="007C5671" w:rsidP="00D376F4">
            <w:pPr>
              <w:rPr>
                <w:sz w:val="22"/>
                <w:szCs w:val="22"/>
              </w:rPr>
            </w:pPr>
          </w:p>
        </w:tc>
      </w:tr>
      <w:tr w:rsidR="007C5671" w:rsidRPr="000B6225" w14:paraId="41A659C8" w14:textId="77777777" w:rsidTr="00934711">
        <w:tc>
          <w:tcPr>
            <w:tcW w:w="2234" w:type="dxa"/>
          </w:tcPr>
          <w:p w14:paraId="1D6DACCD" w14:textId="77777777" w:rsidR="007C5671" w:rsidRPr="000B6225" w:rsidRDefault="007C5671" w:rsidP="00D376F4">
            <w:pPr>
              <w:rPr>
                <w:sz w:val="22"/>
                <w:szCs w:val="22"/>
              </w:rPr>
            </w:pPr>
            <w:r w:rsidRPr="000B6225">
              <w:rPr>
                <w:sz w:val="22"/>
                <w:szCs w:val="22"/>
              </w:rPr>
              <w:t>Accident/Prevention/ Reporting/ First Aid</w:t>
            </w:r>
          </w:p>
        </w:tc>
        <w:tc>
          <w:tcPr>
            <w:tcW w:w="6490" w:type="dxa"/>
          </w:tcPr>
          <w:p w14:paraId="138AF91C" w14:textId="77777777" w:rsidR="007C5671" w:rsidRPr="000B6225" w:rsidRDefault="007C5671" w:rsidP="00D376F4">
            <w:pPr>
              <w:rPr>
                <w:sz w:val="22"/>
                <w:szCs w:val="22"/>
              </w:rPr>
            </w:pPr>
            <w:r w:rsidRPr="000B6225">
              <w:rPr>
                <w:sz w:val="22"/>
                <w:szCs w:val="22"/>
              </w:rPr>
              <w:t>Doctoral Researchers should understand how to report accidents and near misses and should familiarise themselves with the first aiders in the department.  Find out what to do in case of emergency. Supervisors should check understanding.</w:t>
            </w:r>
          </w:p>
          <w:p w14:paraId="55836955" w14:textId="21931791" w:rsidR="007C5671" w:rsidRPr="000B6225" w:rsidRDefault="00651A6D" w:rsidP="00D376F4">
            <w:pPr>
              <w:rPr>
                <w:sz w:val="22"/>
                <w:szCs w:val="22"/>
              </w:rPr>
            </w:pPr>
            <w:hyperlink r:id="rId9" w:history="1">
              <w:r w:rsidR="00175B1E">
                <w:rPr>
                  <w:color w:val="0563C1"/>
                  <w:sz w:val="22"/>
                  <w:szCs w:val="22"/>
                  <w:u w:val="single"/>
                </w:rPr>
                <w:t>https://www.lboro.ac.uk/services/health-safety/</w:t>
              </w:r>
            </w:hyperlink>
          </w:p>
        </w:tc>
        <w:tc>
          <w:tcPr>
            <w:tcW w:w="389" w:type="dxa"/>
          </w:tcPr>
          <w:p w14:paraId="2D6CCAA1" w14:textId="77777777" w:rsidR="007C5671" w:rsidRPr="000B6225" w:rsidRDefault="007C5671" w:rsidP="00D376F4">
            <w:pPr>
              <w:rPr>
                <w:sz w:val="22"/>
                <w:szCs w:val="22"/>
              </w:rPr>
            </w:pPr>
          </w:p>
        </w:tc>
      </w:tr>
      <w:tr w:rsidR="007C5671" w:rsidRPr="000B6225" w14:paraId="5B6EE0BB" w14:textId="77777777" w:rsidTr="00934711">
        <w:tc>
          <w:tcPr>
            <w:tcW w:w="2234" w:type="dxa"/>
          </w:tcPr>
          <w:p w14:paraId="25CF1896" w14:textId="77777777" w:rsidR="007C5671" w:rsidRPr="000B6225" w:rsidRDefault="007C5671" w:rsidP="00D376F4">
            <w:pPr>
              <w:rPr>
                <w:sz w:val="22"/>
                <w:szCs w:val="22"/>
              </w:rPr>
            </w:pPr>
            <w:r w:rsidRPr="000B6225">
              <w:rPr>
                <w:sz w:val="22"/>
                <w:szCs w:val="22"/>
              </w:rPr>
              <w:t>Lab Equipment</w:t>
            </w:r>
          </w:p>
        </w:tc>
        <w:tc>
          <w:tcPr>
            <w:tcW w:w="6490" w:type="dxa"/>
          </w:tcPr>
          <w:p w14:paraId="14EEFE8C" w14:textId="77777777" w:rsidR="007C5671" w:rsidRPr="000B6225" w:rsidRDefault="007C5671" w:rsidP="00D376F4">
            <w:pPr>
              <w:rPr>
                <w:sz w:val="22"/>
                <w:szCs w:val="22"/>
              </w:rPr>
            </w:pPr>
            <w:r w:rsidRPr="000B6225">
              <w:rPr>
                <w:sz w:val="22"/>
                <w:szCs w:val="22"/>
              </w:rPr>
              <w:t xml:space="preserve">Doctoral Researchers should not use any laboratory equipment without first ensuring they have been properly trained to use that equipment. </w:t>
            </w:r>
          </w:p>
        </w:tc>
        <w:tc>
          <w:tcPr>
            <w:tcW w:w="389" w:type="dxa"/>
          </w:tcPr>
          <w:p w14:paraId="2FA80259" w14:textId="77777777" w:rsidR="007C5671" w:rsidRPr="000B6225" w:rsidRDefault="007C5671" w:rsidP="00D376F4">
            <w:pPr>
              <w:rPr>
                <w:sz w:val="22"/>
                <w:szCs w:val="22"/>
              </w:rPr>
            </w:pPr>
          </w:p>
        </w:tc>
      </w:tr>
      <w:tr w:rsidR="007C5671" w:rsidRPr="000B6225" w14:paraId="2A962187" w14:textId="77777777" w:rsidTr="00934711">
        <w:tc>
          <w:tcPr>
            <w:tcW w:w="2234" w:type="dxa"/>
          </w:tcPr>
          <w:p w14:paraId="47B03BF3" w14:textId="77777777" w:rsidR="007C5671" w:rsidRPr="000B6225" w:rsidRDefault="007C5671" w:rsidP="00D376F4">
            <w:pPr>
              <w:rPr>
                <w:sz w:val="22"/>
                <w:szCs w:val="22"/>
              </w:rPr>
            </w:pPr>
            <w:r w:rsidRPr="000B6225">
              <w:rPr>
                <w:sz w:val="22"/>
                <w:szCs w:val="22"/>
              </w:rPr>
              <w:t>Workstation</w:t>
            </w:r>
          </w:p>
        </w:tc>
        <w:tc>
          <w:tcPr>
            <w:tcW w:w="6490" w:type="dxa"/>
          </w:tcPr>
          <w:p w14:paraId="38FEB4E9" w14:textId="07485686" w:rsidR="007C5671" w:rsidRPr="000B6225" w:rsidRDefault="007C5671" w:rsidP="00175B1E">
            <w:pPr>
              <w:rPr>
                <w:sz w:val="22"/>
                <w:szCs w:val="22"/>
              </w:rPr>
            </w:pPr>
            <w:r w:rsidRPr="000B6225">
              <w:rPr>
                <w:sz w:val="22"/>
                <w:szCs w:val="22"/>
              </w:rPr>
              <w:t>Doctoral Researchers should find out what workstations are available for them to use in the department, and undertake a DSE assessment, each departmental will have a DSE officer</w:t>
            </w:r>
            <w:r w:rsidR="00175B1E">
              <w:rPr>
                <w:sz w:val="22"/>
                <w:szCs w:val="22"/>
              </w:rPr>
              <w:t xml:space="preserve">: </w:t>
            </w:r>
            <w:hyperlink r:id="rId10" w:history="1">
              <w:r w:rsidR="00934711" w:rsidRPr="005306D7">
                <w:rPr>
                  <w:rStyle w:val="Hyperlink"/>
                  <w:sz w:val="22"/>
                  <w:szCs w:val="22"/>
                </w:rPr>
                <w:t>https://www.lboro.ac.uk/services/hr/support/occupational-health/displayscreenequipmentdse/</w:t>
              </w:r>
            </w:hyperlink>
            <w:r w:rsidR="00934711">
              <w:rPr>
                <w:sz w:val="22"/>
                <w:szCs w:val="22"/>
              </w:rPr>
              <w:t>.</w:t>
            </w:r>
          </w:p>
        </w:tc>
        <w:tc>
          <w:tcPr>
            <w:tcW w:w="389" w:type="dxa"/>
          </w:tcPr>
          <w:p w14:paraId="1E6F3021" w14:textId="77777777" w:rsidR="007C5671" w:rsidRPr="000B6225" w:rsidRDefault="007C5671" w:rsidP="00D376F4">
            <w:pPr>
              <w:rPr>
                <w:sz w:val="22"/>
                <w:szCs w:val="22"/>
              </w:rPr>
            </w:pPr>
          </w:p>
        </w:tc>
      </w:tr>
      <w:tr w:rsidR="007C5671" w:rsidRPr="000B6225" w14:paraId="05062843" w14:textId="77777777" w:rsidTr="00934711">
        <w:tc>
          <w:tcPr>
            <w:tcW w:w="2234" w:type="dxa"/>
          </w:tcPr>
          <w:p w14:paraId="5C911314" w14:textId="77777777" w:rsidR="007C5671" w:rsidRPr="000B6225" w:rsidRDefault="007C5671" w:rsidP="00D376F4">
            <w:pPr>
              <w:rPr>
                <w:sz w:val="22"/>
                <w:szCs w:val="22"/>
              </w:rPr>
            </w:pPr>
            <w:r w:rsidRPr="000B6225">
              <w:rPr>
                <w:sz w:val="22"/>
                <w:szCs w:val="22"/>
              </w:rPr>
              <w:t>Smoking Policy</w:t>
            </w:r>
          </w:p>
        </w:tc>
        <w:tc>
          <w:tcPr>
            <w:tcW w:w="6490" w:type="dxa"/>
          </w:tcPr>
          <w:p w14:paraId="4495DAB4" w14:textId="77777777" w:rsidR="007C5671" w:rsidRPr="000B6225" w:rsidRDefault="007C5671" w:rsidP="00D376F4">
            <w:pPr>
              <w:rPr>
                <w:sz w:val="22"/>
                <w:szCs w:val="22"/>
              </w:rPr>
            </w:pPr>
            <w:r w:rsidRPr="000B6225">
              <w:rPr>
                <w:sz w:val="22"/>
                <w:szCs w:val="22"/>
              </w:rPr>
              <w:t xml:space="preserve">Smoking is prohibited in and close to University buildings. There are smoking shelters around campus. </w:t>
            </w:r>
          </w:p>
        </w:tc>
        <w:tc>
          <w:tcPr>
            <w:tcW w:w="389" w:type="dxa"/>
          </w:tcPr>
          <w:p w14:paraId="43F40F92" w14:textId="77777777" w:rsidR="007C5671" w:rsidRPr="000B6225" w:rsidRDefault="007C5671" w:rsidP="00D376F4">
            <w:pPr>
              <w:rPr>
                <w:sz w:val="22"/>
                <w:szCs w:val="22"/>
              </w:rPr>
            </w:pPr>
          </w:p>
        </w:tc>
      </w:tr>
      <w:tr w:rsidR="007C5671" w:rsidRPr="000B6225" w14:paraId="0A5631B8" w14:textId="77777777" w:rsidTr="00934711">
        <w:tc>
          <w:tcPr>
            <w:tcW w:w="2234" w:type="dxa"/>
          </w:tcPr>
          <w:p w14:paraId="58434C1C" w14:textId="77777777" w:rsidR="007C5671" w:rsidRPr="000B6225" w:rsidRDefault="007C5671" w:rsidP="00D376F4">
            <w:pPr>
              <w:rPr>
                <w:sz w:val="22"/>
                <w:szCs w:val="22"/>
              </w:rPr>
            </w:pPr>
            <w:r w:rsidRPr="000B6225">
              <w:rPr>
                <w:sz w:val="22"/>
                <w:szCs w:val="22"/>
              </w:rPr>
              <w:t>IT</w:t>
            </w:r>
          </w:p>
        </w:tc>
        <w:tc>
          <w:tcPr>
            <w:tcW w:w="6490" w:type="dxa"/>
          </w:tcPr>
          <w:p w14:paraId="28CBA9BC" w14:textId="77777777" w:rsidR="007C5671" w:rsidRPr="000B6225" w:rsidRDefault="007C5671" w:rsidP="00D376F4">
            <w:pPr>
              <w:rPr>
                <w:sz w:val="22"/>
                <w:szCs w:val="22"/>
              </w:rPr>
            </w:pPr>
            <w:r w:rsidRPr="000B6225">
              <w:rPr>
                <w:sz w:val="22"/>
                <w:szCs w:val="22"/>
              </w:rPr>
              <w:t xml:space="preserve">Doctoral Researchers should identify any IT training needs and should ensure they are familiar with the acceptable use of IT Policy with guidance from supervisory team. </w:t>
            </w:r>
          </w:p>
        </w:tc>
        <w:tc>
          <w:tcPr>
            <w:tcW w:w="389" w:type="dxa"/>
          </w:tcPr>
          <w:p w14:paraId="283B69CA" w14:textId="77777777" w:rsidR="007C5671" w:rsidRPr="000B6225" w:rsidRDefault="007C5671" w:rsidP="00D376F4">
            <w:pPr>
              <w:rPr>
                <w:sz w:val="22"/>
                <w:szCs w:val="22"/>
              </w:rPr>
            </w:pPr>
          </w:p>
        </w:tc>
      </w:tr>
      <w:tr w:rsidR="007C5671" w:rsidRPr="000B6225" w14:paraId="46666BE2" w14:textId="77777777" w:rsidTr="00934711">
        <w:tc>
          <w:tcPr>
            <w:tcW w:w="2234" w:type="dxa"/>
          </w:tcPr>
          <w:p w14:paraId="27BE1053" w14:textId="77777777" w:rsidR="007C5671" w:rsidRPr="000B6225" w:rsidRDefault="007C5671" w:rsidP="00D376F4">
            <w:pPr>
              <w:rPr>
                <w:sz w:val="22"/>
                <w:szCs w:val="22"/>
              </w:rPr>
            </w:pPr>
            <w:r w:rsidRPr="000B6225">
              <w:rPr>
                <w:sz w:val="22"/>
                <w:szCs w:val="22"/>
              </w:rPr>
              <w:t>Information Security</w:t>
            </w:r>
          </w:p>
        </w:tc>
        <w:tc>
          <w:tcPr>
            <w:tcW w:w="6490" w:type="dxa"/>
          </w:tcPr>
          <w:p w14:paraId="418507A2" w14:textId="2192233F" w:rsidR="007C5671" w:rsidRPr="000B6225" w:rsidRDefault="007C5671" w:rsidP="00D376F4">
            <w:pPr>
              <w:rPr>
                <w:sz w:val="22"/>
                <w:szCs w:val="22"/>
              </w:rPr>
            </w:pPr>
            <w:r w:rsidRPr="000B6225">
              <w:rPr>
                <w:sz w:val="22"/>
                <w:szCs w:val="22"/>
              </w:rPr>
              <w:t>All Doctoral Researchers are required to undertake Information Security training online, to ensure that any data you hold about yourself or others is protected.  The training and associated quiz should be completed within one month of starting your degree.</w:t>
            </w:r>
            <w:r w:rsidR="00530145">
              <w:rPr>
                <w:sz w:val="22"/>
                <w:szCs w:val="22"/>
              </w:rPr>
              <w:t xml:space="preserve"> </w:t>
            </w:r>
            <w:r w:rsidR="00530145" w:rsidRPr="00530145">
              <w:rPr>
                <w:sz w:val="22"/>
                <w:szCs w:val="22"/>
              </w:rPr>
              <w:t xml:space="preserve">Evidence of successful completion must be included in your 6-month </w:t>
            </w:r>
            <w:r w:rsidR="00651A6D">
              <w:rPr>
                <w:sz w:val="22"/>
                <w:szCs w:val="22"/>
              </w:rPr>
              <w:t xml:space="preserve">progress </w:t>
            </w:r>
            <w:r w:rsidR="00530145" w:rsidRPr="00530145">
              <w:rPr>
                <w:sz w:val="22"/>
                <w:szCs w:val="22"/>
              </w:rPr>
              <w:t>review submission.</w:t>
            </w:r>
          </w:p>
          <w:p w14:paraId="2782B6A2" w14:textId="1911444B" w:rsidR="007C5671" w:rsidRPr="000B6225" w:rsidDel="001175D3" w:rsidRDefault="00651A6D" w:rsidP="00D376F4">
            <w:pPr>
              <w:rPr>
                <w:sz w:val="22"/>
                <w:szCs w:val="22"/>
              </w:rPr>
            </w:pPr>
            <w:hyperlink r:id="rId11" w:history="1">
              <w:r w:rsidR="003C60AB" w:rsidRPr="003C60AB">
                <w:rPr>
                  <w:rStyle w:val="Hyperlink"/>
                  <w:sz w:val="22"/>
                  <w:szCs w:val="22"/>
                </w:rPr>
                <w:t>https://learn.lboro.ac.uk/course/view.php?id=13809</w:t>
              </w:r>
            </w:hyperlink>
          </w:p>
        </w:tc>
        <w:tc>
          <w:tcPr>
            <w:tcW w:w="389" w:type="dxa"/>
          </w:tcPr>
          <w:p w14:paraId="5CA52417" w14:textId="77777777" w:rsidR="007C5671" w:rsidRPr="000B6225" w:rsidRDefault="007C5671" w:rsidP="00D376F4">
            <w:pPr>
              <w:rPr>
                <w:sz w:val="22"/>
                <w:szCs w:val="22"/>
              </w:rPr>
            </w:pPr>
          </w:p>
        </w:tc>
      </w:tr>
      <w:tr w:rsidR="007C5671" w:rsidRPr="000B6225" w14:paraId="23E03315" w14:textId="77777777" w:rsidTr="00934711">
        <w:tc>
          <w:tcPr>
            <w:tcW w:w="2234" w:type="dxa"/>
          </w:tcPr>
          <w:p w14:paraId="62459BA9" w14:textId="77777777" w:rsidR="007C5671" w:rsidRPr="000B6225" w:rsidRDefault="007C5671" w:rsidP="00D376F4">
            <w:pPr>
              <w:rPr>
                <w:sz w:val="22"/>
                <w:szCs w:val="22"/>
              </w:rPr>
            </w:pPr>
            <w:r w:rsidRPr="000B6225">
              <w:rPr>
                <w:sz w:val="22"/>
                <w:szCs w:val="22"/>
              </w:rPr>
              <w:t>Research Data Management</w:t>
            </w:r>
          </w:p>
        </w:tc>
        <w:tc>
          <w:tcPr>
            <w:tcW w:w="6490" w:type="dxa"/>
          </w:tcPr>
          <w:p w14:paraId="122B13C9" w14:textId="7BA6E688" w:rsidR="007C5671" w:rsidRPr="00934711" w:rsidRDefault="007C5671" w:rsidP="00D376F4">
            <w:pPr>
              <w:rPr>
                <w:sz w:val="22"/>
                <w:szCs w:val="22"/>
              </w:rPr>
            </w:pPr>
            <w:r w:rsidRPr="000B6225">
              <w:rPr>
                <w:sz w:val="22"/>
                <w:szCs w:val="22"/>
              </w:rPr>
              <w:t xml:space="preserve">The University has a </w:t>
            </w:r>
            <w:r w:rsidR="003C60AB">
              <w:rPr>
                <w:sz w:val="22"/>
                <w:szCs w:val="22"/>
              </w:rPr>
              <w:t>r</w:t>
            </w:r>
            <w:r w:rsidRPr="000B6225">
              <w:rPr>
                <w:sz w:val="22"/>
                <w:szCs w:val="22"/>
              </w:rPr>
              <w:t xml:space="preserve">epository for research data, </w:t>
            </w:r>
            <w:r w:rsidR="00D11FB7" w:rsidRPr="000B6225">
              <w:rPr>
                <w:sz w:val="22"/>
                <w:szCs w:val="22"/>
              </w:rPr>
              <w:t>Doctoral Researchers</w:t>
            </w:r>
            <w:r w:rsidRPr="000B6225">
              <w:rPr>
                <w:sz w:val="22"/>
                <w:szCs w:val="22"/>
              </w:rPr>
              <w:t xml:space="preserve"> may wish to</w:t>
            </w:r>
            <w:r w:rsidR="00934711">
              <w:rPr>
                <w:sz w:val="22"/>
                <w:szCs w:val="22"/>
              </w:rPr>
              <w:t xml:space="preserve"> or </w:t>
            </w:r>
            <w:r w:rsidRPr="000B6225">
              <w:rPr>
                <w:sz w:val="22"/>
                <w:szCs w:val="22"/>
              </w:rPr>
              <w:t>be required to make their data available on the Institutional Reposito</w:t>
            </w:r>
            <w:r w:rsidR="00D11FB7">
              <w:rPr>
                <w:sz w:val="22"/>
                <w:szCs w:val="22"/>
              </w:rPr>
              <w:t>ry;</w:t>
            </w:r>
            <w:r w:rsidR="00D11FB7" w:rsidRPr="00934711">
              <w:rPr>
                <w:sz w:val="22"/>
                <w:szCs w:val="22"/>
              </w:rPr>
              <w:t xml:space="preserve"> </w:t>
            </w:r>
            <w:r w:rsidR="00934711" w:rsidRPr="00934711">
              <w:rPr>
                <w:sz w:val="22"/>
                <w:szCs w:val="22"/>
              </w:rPr>
              <w:t>familiarise yourself with this</w:t>
            </w:r>
            <w:r w:rsidR="003C60AB" w:rsidRPr="00934711">
              <w:rPr>
                <w:sz w:val="22"/>
                <w:szCs w:val="22"/>
              </w:rPr>
              <w:t>:</w:t>
            </w:r>
          </w:p>
          <w:p w14:paraId="23718514" w14:textId="29E91AD1" w:rsidR="003C60AB" w:rsidRPr="000B6225" w:rsidDel="001175D3" w:rsidRDefault="00651A6D" w:rsidP="00D376F4">
            <w:pPr>
              <w:rPr>
                <w:sz w:val="22"/>
                <w:szCs w:val="22"/>
              </w:rPr>
            </w:pPr>
            <w:hyperlink r:id="rId12" w:history="1">
              <w:r w:rsidR="003C60AB" w:rsidRPr="003C60AB">
                <w:rPr>
                  <w:rStyle w:val="Hyperlink"/>
                  <w:sz w:val="22"/>
                  <w:szCs w:val="22"/>
                </w:rPr>
                <w:t>https://internal.lboro.ac.uk/info/research-support/funding/data-management-plan/</w:t>
              </w:r>
            </w:hyperlink>
          </w:p>
        </w:tc>
        <w:tc>
          <w:tcPr>
            <w:tcW w:w="389" w:type="dxa"/>
          </w:tcPr>
          <w:p w14:paraId="550B0C35" w14:textId="77777777" w:rsidR="007C5671" w:rsidRPr="000B6225" w:rsidRDefault="007C5671" w:rsidP="00D376F4">
            <w:pPr>
              <w:rPr>
                <w:sz w:val="22"/>
                <w:szCs w:val="22"/>
              </w:rPr>
            </w:pPr>
          </w:p>
        </w:tc>
      </w:tr>
      <w:tr w:rsidR="007C5671" w:rsidRPr="000B6225" w14:paraId="6D985C33" w14:textId="77777777" w:rsidTr="00934711">
        <w:tc>
          <w:tcPr>
            <w:tcW w:w="2234" w:type="dxa"/>
          </w:tcPr>
          <w:p w14:paraId="6B1480B2" w14:textId="77777777" w:rsidR="007C5671" w:rsidRPr="000B6225" w:rsidRDefault="007C5671" w:rsidP="00D376F4">
            <w:pPr>
              <w:rPr>
                <w:sz w:val="22"/>
                <w:szCs w:val="22"/>
              </w:rPr>
            </w:pPr>
            <w:r w:rsidRPr="000B6225">
              <w:rPr>
                <w:sz w:val="22"/>
                <w:szCs w:val="22"/>
              </w:rPr>
              <w:t xml:space="preserve">LUPIN: </w:t>
            </w:r>
            <w:r w:rsidRPr="000B6225">
              <w:rPr>
                <w:sz w:val="22"/>
                <w:szCs w:val="22"/>
              </w:rPr>
              <w:lastRenderedPageBreak/>
              <w:t>Loughborough University Publications Information System</w:t>
            </w:r>
          </w:p>
        </w:tc>
        <w:tc>
          <w:tcPr>
            <w:tcW w:w="6490" w:type="dxa"/>
          </w:tcPr>
          <w:p w14:paraId="24763AD1" w14:textId="62245978" w:rsidR="007C5671" w:rsidRDefault="007C5671" w:rsidP="00D376F4">
            <w:pPr>
              <w:rPr>
                <w:sz w:val="22"/>
                <w:szCs w:val="22"/>
              </w:rPr>
            </w:pPr>
            <w:r w:rsidRPr="000B6225">
              <w:rPr>
                <w:sz w:val="22"/>
                <w:szCs w:val="22"/>
              </w:rPr>
              <w:lastRenderedPageBreak/>
              <w:t xml:space="preserve">The university has a Publications Information System called </w:t>
            </w:r>
            <w:r w:rsidRPr="000B6225">
              <w:rPr>
                <w:sz w:val="22"/>
                <w:szCs w:val="22"/>
              </w:rPr>
              <w:lastRenderedPageBreak/>
              <w:t xml:space="preserve">LUPIN. Records in LUPIN can be accessed by author from links in personal webpages, avoiding having to update websites manually. </w:t>
            </w:r>
            <w:r w:rsidR="00D11FB7">
              <w:rPr>
                <w:sz w:val="22"/>
                <w:szCs w:val="22"/>
              </w:rPr>
              <w:t>Doctoral Researchers</w:t>
            </w:r>
            <w:r w:rsidRPr="000B6225">
              <w:rPr>
                <w:sz w:val="22"/>
                <w:szCs w:val="22"/>
              </w:rPr>
              <w:t xml:space="preserve"> may wish to/be required to record their publications and how to include a copy of their manuscripts in the Institutional Repository.</w:t>
            </w:r>
          </w:p>
          <w:p w14:paraId="0C9A253A" w14:textId="0926AF0E" w:rsidR="003C60AB" w:rsidRPr="000B6225" w:rsidRDefault="00651A6D" w:rsidP="00D376F4">
            <w:pPr>
              <w:rPr>
                <w:sz w:val="22"/>
                <w:szCs w:val="22"/>
              </w:rPr>
            </w:pPr>
            <w:hyperlink r:id="rId13" w:history="1">
              <w:r w:rsidR="003C60AB" w:rsidRPr="003C60AB">
                <w:rPr>
                  <w:rStyle w:val="Hyperlink"/>
                  <w:sz w:val="22"/>
                  <w:szCs w:val="22"/>
                </w:rPr>
                <w:t>https://www.lboro.ac.uk/research/support/publishing/institutional-repository/</w:t>
              </w:r>
            </w:hyperlink>
          </w:p>
        </w:tc>
        <w:tc>
          <w:tcPr>
            <w:tcW w:w="389" w:type="dxa"/>
          </w:tcPr>
          <w:p w14:paraId="1092DF97" w14:textId="77777777" w:rsidR="007C5671" w:rsidRPr="000B6225" w:rsidRDefault="007C5671" w:rsidP="00D376F4">
            <w:pPr>
              <w:rPr>
                <w:sz w:val="22"/>
                <w:szCs w:val="22"/>
              </w:rPr>
            </w:pPr>
          </w:p>
        </w:tc>
      </w:tr>
      <w:tr w:rsidR="00934711" w:rsidRPr="000B6225" w14:paraId="22A6422E" w14:textId="77777777" w:rsidTr="00934711">
        <w:tc>
          <w:tcPr>
            <w:tcW w:w="2234" w:type="dxa"/>
          </w:tcPr>
          <w:p w14:paraId="22FAC605" w14:textId="77777777" w:rsidR="00934711" w:rsidRPr="00934711" w:rsidRDefault="00934711" w:rsidP="00077416">
            <w:pPr>
              <w:rPr>
                <w:sz w:val="22"/>
                <w:szCs w:val="22"/>
              </w:rPr>
            </w:pPr>
            <w:r w:rsidRPr="00934711">
              <w:rPr>
                <w:sz w:val="22"/>
                <w:szCs w:val="22"/>
              </w:rPr>
              <w:t>Export Control Training</w:t>
            </w:r>
          </w:p>
        </w:tc>
        <w:tc>
          <w:tcPr>
            <w:tcW w:w="6490" w:type="dxa"/>
          </w:tcPr>
          <w:p w14:paraId="098B644B" w14:textId="77777777" w:rsidR="00934711" w:rsidRPr="00934711" w:rsidRDefault="00934711" w:rsidP="00077416">
            <w:pPr>
              <w:rPr>
                <w:sz w:val="22"/>
                <w:szCs w:val="22"/>
              </w:rPr>
            </w:pPr>
            <w:r w:rsidRPr="00934711">
              <w:rPr>
                <w:sz w:val="22"/>
                <w:szCs w:val="22"/>
              </w:rPr>
              <w:t>This training resource has been developed to introduce you to the export control issues you may encounter when undertaking research, enterprise or teaching activity at the University.  This applies in a number of unexpected situations, and you should make sure you have accessed this resource to be certain that you are not breaking the law.</w:t>
            </w:r>
          </w:p>
          <w:p w14:paraId="439346BF" w14:textId="234D8EA6" w:rsidR="00934711" w:rsidRPr="003843C5" w:rsidRDefault="00651A6D" w:rsidP="00077416">
            <w:pPr>
              <w:rPr>
                <w:sz w:val="22"/>
                <w:szCs w:val="22"/>
              </w:rPr>
            </w:pPr>
            <w:hyperlink r:id="rId14" w:history="1">
              <w:r w:rsidR="003843C5" w:rsidRPr="003843C5">
                <w:rPr>
                  <w:rStyle w:val="Hyperlink"/>
                  <w:sz w:val="22"/>
                  <w:szCs w:val="22"/>
                </w:rPr>
                <w:t>https://learn.lboro.ac.uk/enrol/index.php?id=13851</w:t>
              </w:r>
            </w:hyperlink>
          </w:p>
        </w:tc>
        <w:tc>
          <w:tcPr>
            <w:tcW w:w="389" w:type="dxa"/>
          </w:tcPr>
          <w:p w14:paraId="040DDB64" w14:textId="77777777" w:rsidR="00934711" w:rsidRPr="000B6225" w:rsidRDefault="00934711" w:rsidP="00077416"/>
        </w:tc>
      </w:tr>
    </w:tbl>
    <w:p w14:paraId="4078FB1F" w14:textId="77777777" w:rsidR="00934711" w:rsidRDefault="00934711" w:rsidP="007C5671">
      <w:pPr>
        <w:spacing w:after="160" w:line="259" w:lineRule="auto"/>
        <w:rPr>
          <w:rFonts w:eastAsia="Calibri"/>
          <w:b/>
          <w:sz w:val="22"/>
          <w:szCs w:val="22"/>
          <w:lang w:eastAsia="en-US"/>
        </w:rPr>
      </w:pPr>
    </w:p>
    <w:p w14:paraId="2C36C295" w14:textId="09168856"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t>Work-related administration</w:t>
      </w:r>
    </w:p>
    <w:p w14:paraId="4BD3954F"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This section covers various topics relating to leave procedures, working hours and repayment of expenses. Further information can be found in the programme handbook and the Schools PGR administrators.  </w:t>
      </w:r>
    </w:p>
    <w:tbl>
      <w:tblPr>
        <w:tblStyle w:val="TableGrid"/>
        <w:tblW w:w="8926" w:type="dxa"/>
        <w:tblLook w:val="04A0" w:firstRow="1" w:lastRow="0" w:firstColumn="1" w:lastColumn="0" w:noHBand="0" w:noVBand="1"/>
      </w:tblPr>
      <w:tblGrid>
        <w:gridCol w:w="2093"/>
        <w:gridCol w:w="3402"/>
        <w:gridCol w:w="3431"/>
      </w:tblGrid>
      <w:tr w:rsidR="007C5671" w:rsidRPr="000B6225" w14:paraId="7943BD49" w14:textId="77777777" w:rsidTr="00D376F4">
        <w:tc>
          <w:tcPr>
            <w:tcW w:w="2093" w:type="dxa"/>
          </w:tcPr>
          <w:p w14:paraId="0F13E6F9" w14:textId="77777777" w:rsidR="007C5671" w:rsidRPr="000B6225" w:rsidRDefault="007C5671" w:rsidP="00D376F4">
            <w:pPr>
              <w:rPr>
                <w:b/>
                <w:bCs/>
                <w:sz w:val="22"/>
                <w:szCs w:val="22"/>
              </w:rPr>
            </w:pPr>
            <w:r w:rsidRPr="000B6225">
              <w:rPr>
                <w:b/>
                <w:bCs/>
                <w:sz w:val="22"/>
                <w:szCs w:val="22"/>
              </w:rPr>
              <w:t xml:space="preserve">Miscellaneous </w:t>
            </w:r>
          </w:p>
        </w:tc>
        <w:tc>
          <w:tcPr>
            <w:tcW w:w="3402" w:type="dxa"/>
          </w:tcPr>
          <w:p w14:paraId="099087D2" w14:textId="77777777" w:rsidR="007C5671" w:rsidRPr="000B6225" w:rsidRDefault="007C5671" w:rsidP="00D376F4">
            <w:pPr>
              <w:rPr>
                <w:b/>
                <w:bCs/>
                <w:sz w:val="22"/>
                <w:szCs w:val="22"/>
              </w:rPr>
            </w:pPr>
            <w:r w:rsidRPr="000B6225">
              <w:rPr>
                <w:b/>
                <w:bCs/>
                <w:sz w:val="22"/>
                <w:szCs w:val="22"/>
              </w:rPr>
              <w:t>Action Required</w:t>
            </w:r>
          </w:p>
        </w:tc>
        <w:tc>
          <w:tcPr>
            <w:tcW w:w="3431" w:type="dxa"/>
          </w:tcPr>
          <w:p w14:paraId="08B740F5" w14:textId="77777777" w:rsidR="007C5671" w:rsidRPr="000B6225" w:rsidRDefault="007C5671" w:rsidP="00D376F4">
            <w:pPr>
              <w:jc w:val="center"/>
              <w:rPr>
                <w:b/>
                <w:bCs/>
                <w:sz w:val="22"/>
                <w:szCs w:val="22"/>
              </w:rPr>
            </w:pPr>
            <w:r w:rsidRPr="000B6225">
              <w:rPr>
                <w:b/>
                <w:bCs/>
                <w:sz w:val="22"/>
                <w:szCs w:val="22"/>
              </w:rPr>
              <w:t>Notes</w:t>
            </w:r>
          </w:p>
        </w:tc>
      </w:tr>
      <w:tr w:rsidR="007C5671" w:rsidRPr="000B6225" w14:paraId="5D038D9F" w14:textId="77777777" w:rsidTr="00D376F4">
        <w:tc>
          <w:tcPr>
            <w:tcW w:w="2093" w:type="dxa"/>
          </w:tcPr>
          <w:p w14:paraId="36C181E5" w14:textId="77777777" w:rsidR="007C5671" w:rsidRPr="000B6225" w:rsidRDefault="007C5671" w:rsidP="00D376F4">
            <w:pPr>
              <w:rPr>
                <w:sz w:val="22"/>
                <w:szCs w:val="22"/>
              </w:rPr>
            </w:pPr>
            <w:r w:rsidRPr="000B6225">
              <w:rPr>
                <w:sz w:val="22"/>
                <w:szCs w:val="22"/>
              </w:rPr>
              <w:t>Sickness Absence</w:t>
            </w:r>
          </w:p>
        </w:tc>
        <w:tc>
          <w:tcPr>
            <w:tcW w:w="3402" w:type="dxa"/>
          </w:tcPr>
          <w:p w14:paraId="38A10915" w14:textId="77777777" w:rsidR="007C5671" w:rsidRPr="000B6225" w:rsidRDefault="007C5671" w:rsidP="00D376F4">
            <w:pPr>
              <w:rPr>
                <w:sz w:val="22"/>
                <w:szCs w:val="22"/>
              </w:rPr>
            </w:pPr>
            <w:r w:rsidRPr="000B6225">
              <w:rPr>
                <w:sz w:val="22"/>
                <w:szCs w:val="22"/>
              </w:rPr>
              <w:t xml:space="preserve">Find out supervision and departmental procedures for illness both short term and long term. </w:t>
            </w:r>
          </w:p>
        </w:tc>
        <w:tc>
          <w:tcPr>
            <w:tcW w:w="3431" w:type="dxa"/>
          </w:tcPr>
          <w:p w14:paraId="14E62AC5" w14:textId="77777777" w:rsidR="007C5671" w:rsidRPr="000B6225" w:rsidRDefault="007C5671" w:rsidP="00D376F4">
            <w:pPr>
              <w:jc w:val="center"/>
              <w:rPr>
                <w:sz w:val="22"/>
                <w:szCs w:val="22"/>
              </w:rPr>
            </w:pPr>
          </w:p>
        </w:tc>
      </w:tr>
      <w:tr w:rsidR="007C5671" w:rsidRPr="000B6225" w14:paraId="5160B30F" w14:textId="77777777" w:rsidTr="00D376F4">
        <w:tc>
          <w:tcPr>
            <w:tcW w:w="2093" w:type="dxa"/>
          </w:tcPr>
          <w:p w14:paraId="6C5D0698" w14:textId="77777777" w:rsidR="007C5671" w:rsidRPr="000B6225" w:rsidRDefault="007C5671" w:rsidP="00D376F4">
            <w:pPr>
              <w:rPr>
                <w:i/>
                <w:sz w:val="22"/>
                <w:szCs w:val="22"/>
              </w:rPr>
            </w:pPr>
            <w:r w:rsidRPr="000B6225">
              <w:rPr>
                <w:sz w:val="22"/>
                <w:szCs w:val="22"/>
              </w:rPr>
              <w:t>Hours of Work/ Breaks</w:t>
            </w:r>
          </w:p>
        </w:tc>
        <w:tc>
          <w:tcPr>
            <w:tcW w:w="3402" w:type="dxa"/>
          </w:tcPr>
          <w:p w14:paraId="47D2DC65" w14:textId="77777777" w:rsidR="007C5671" w:rsidRPr="000B6225" w:rsidRDefault="007C5671" w:rsidP="00D376F4">
            <w:pPr>
              <w:rPr>
                <w:sz w:val="22"/>
                <w:szCs w:val="22"/>
              </w:rPr>
            </w:pPr>
            <w:r w:rsidRPr="000B6225">
              <w:rPr>
                <w:sz w:val="22"/>
                <w:szCs w:val="22"/>
              </w:rPr>
              <w:t xml:space="preserve">Ensure you understand the opening hours of buildings/labs if applicable and the procedure for safe working out of hours. Identify appropriate hours of work to ensure welfare of Doctoral Researcher. </w:t>
            </w:r>
          </w:p>
        </w:tc>
        <w:tc>
          <w:tcPr>
            <w:tcW w:w="3431" w:type="dxa"/>
          </w:tcPr>
          <w:p w14:paraId="7F5DED2C" w14:textId="77777777" w:rsidR="007C5671" w:rsidRPr="000B6225" w:rsidRDefault="007C5671" w:rsidP="00D376F4">
            <w:pPr>
              <w:jc w:val="center"/>
              <w:rPr>
                <w:sz w:val="22"/>
                <w:szCs w:val="22"/>
              </w:rPr>
            </w:pPr>
          </w:p>
        </w:tc>
      </w:tr>
      <w:tr w:rsidR="007C5671" w:rsidRPr="000B6225" w14:paraId="5B444F1C" w14:textId="77777777" w:rsidTr="00D376F4">
        <w:tc>
          <w:tcPr>
            <w:tcW w:w="2093" w:type="dxa"/>
          </w:tcPr>
          <w:p w14:paraId="05C22CE1" w14:textId="77777777" w:rsidR="007C5671" w:rsidRPr="000B6225" w:rsidRDefault="007C5671" w:rsidP="00D376F4">
            <w:pPr>
              <w:rPr>
                <w:sz w:val="22"/>
                <w:szCs w:val="22"/>
              </w:rPr>
            </w:pPr>
            <w:r w:rsidRPr="000B6225">
              <w:rPr>
                <w:sz w:val="22"/>
                <w:szCs w:val="22"/>
              </w:rPr>
              <w:t>Annual Leave</w:t>
            </w:r>
          </w:p>
        </w:tc>
        <w:tc>
          <w:tcPr>
            <w:tcW w:w="3402" w:type="dxa"/>
          </w:tcPr>
          <w:p w14:paraId="054072D5" w14:textId="77777777" w:rsidR="007C5671" w:rsidRPr="000B6225" w:rsidRDefault="007C5671" w:rsidP="00D376F4">
            <w:pPr>
              <w:rPr>
                <w:sz w:val="22"/>
                <w:szCs w:val="22"/>
              </w:rPr>
            </w:pPr>
            <w:r w:rsidRPr="000B6225">
              <w:rPr>
                <w:sz w:val="22"/>
                <w:szCs w:val="22"/>
              </w:rPr>
              <w:t>Check understanding of annual leave entitlement and procedure for requesting/recording this</w:t>
            </w:r>
          </w:p>
        </w:tc>
        <w:tc>
          <w:tcPr>
            <w:tcW w:w="3431" w:type="dxa"/>
          </w:tcPr>
          <w:p w14:paraId="1482069C" w14:textId="77777777" w:rsidR="007C5671" w:rsidRPr="000B6225" w:rsidRDefault="007C5671" w:rsidP="00D376F4">
            <w:pPr>
              <w:jc w:val="center"/>
              <w:rPr>
                <w:sz w:val="22"/>
                <w:szCs w:val="22"/>
              </w:rPr>
            </w:pPr>
          </w:p>
        </w:tc>
      </w:tr>
      <w:tr w:rsidR="007C5671" w:rsidRPr="000B6225" w14:paraId="7C1D248E" w14:textId="77777777" w:rsidTr="00D376F4">
        <w:tc>
          <w:tcPr>
            <w:tcW w:w="2093" w:type="dxa"/>
          </w:tcPr>
          <w:p w14:paraId="669BC71A" w14:textId="77777777" w:rsidR="007C5671" w:rsidRPr="000B6225" w:rsidRDefault="007C5671" w:rsidP="00D376F4">
            <w:pPr>
              <w:rPr>
                <w:sz w:val="22"/>
                <w:szCs w:val="22"/>
              </w:rPr>
            </w:pPr>
            <w:r w:rsidRPr="000B6225">
              <w:rPr>
                <w:sz w:val="22"/>
                <w:szCs w:val="22"/>
              </w:rPr>
              <w:t>Funding</w:t>
            </w:r>
          </w:p>
        </w:tc>
        <w:tc>
          <w:tcPr>
            <w:tcW w:w="3402" w:type="dxa"/>
          </w:tcPr>
          <w:p w14:paraId="013219CC" w14:textId="77777777" w:rsidR="007C5671" w:rsidRPr="000B6225" w:rsidRDefault="007C5671" w:rsidP="00D376F4">
            <w:pPr>
              <w:rPr>
                <w:sz w:val="22"/>
                <w:szCs w:val="22"/>
              </w:rPr>
            </w:pPr>
            <w:r w:rsidRPr="000B6225">
              <w:rPr>
                <w:sz w:val="22"/>
                <w:szCs w:val="22"/>
              </w:rPr>
              <w:t xml:space="preserve">Check understanding of process for expense claims, conference sign ups and research costs. Check understanding of rules for expenses you can claim and how to claim them. </w:t>
            </w:r>
          </w:p>
        </w:tc>
        <w:tc>
          <w:tcPr>
            <w:tcW w:w="3431" w:type="dxa"/>
          </w:tcPr>
          <w:p w14:paraId="7A14696B" w14:textId="77777777" w:rsidR="007C5671" w:rsidRPr="000B6225" w:rsidRDefault="007C5671" w:rsidP="00D376F4">
            <w:pPr>
              <w:jc w:val="center"/>
              <w:rPr>
                <w:sz w:val="22"/>
                <w:szCs w:val="22"/>
              </w:rPr>
            </w:pPr>
          </w:p>
        </w:tc>
      </w:tr>
      <w:tr w:rsidR="007C5671" w:rsidRPr="000B6225" w14:paraId="65F46276" w14:textId="77777777" w:rsidTr="00D376F4">
        <w:tc>
          <w:tcPr>
            <w:tcW w:w="2093" w:type="dxa"/>
          </w:tcPr>
          <w:p w14:paraId="05105C8B" w14:textId="77777777" w:rsidR="007C5671" w:rsidRPr="000B6225" w:rsidRDefault="007C5671" w:rsidP="00D376F4">
            <w:pPr>
              <w:rPr>
                <w:sz w:val="22"/>
                <w:szCs w:val="22"/>
              </w:rPr>
            </w:pPr>
            <w:r w:rsidRPr="000B6225">
              <w:rPr>
                <w:sz w:val="22"/>
                <w:szCs w:val="22"/>
              </w:rPr>
              <w:t>Print and Stationary</w:t>
            </w:r>
          </w:p>
        </w:tc>
        <w:tc>
          <w:tcPr>
            <w:tcW w:w="3402" w:type="dxa"/>
          </w:tcPr>
          <w:p w14:paraId="5FBAE4D6" w14:textId="77777777" w:rsidR="007C5671" w:rsidRPr="000B6225" w:rsidRDefault="007C5671" w:rsidP="00D376F4">
            <w:pPr>
              <w:rPr>
                <w:sz w:val="22"/>
                <w:szCs w:val="22"/>
              </w:rPr>
            </w:pPr>
            <w:r w:rsidRPr="000B6225">
              <w:rPr>
                <w:sz w:val="22"/>
                <w:szCs w:val="22"/>
              </w:rPr>
              <w:t xml:space="preserve">Check allowances and access to stationary. </w:t>
            </w:r>
          </w:p>
        </w:tc>
        <w:tc>
          <w:tcPr>
            <w:tcW w:w="3431" w:type="dxa"/>
          </w:tcPr>
          <w:p w14:paraId="1FE9C341" w14:textId="77777777" w:rsidR="007C5671" w:rsidRPr="000B6225" w:rsidRDefault="007C5671" w:rsidP="00D376F4">
            <w:pPr>
              <w:jc w:val="center"/>
              <w:rPr>
                <w:sz w:val="22"/>
                <w:szCs w:val="22"/>
              </w:rPr>
            </w:pPr>
          </w:p>
        </w:tc>
      </w:tr>
      <w:tr w:rsidR="007C5671" w:rsidRPr="000B6225" w14:paraId="794F6C3B" w14:textId="77777777" w:rsidTr="00D376F4">
        <w:tc>
          <w:tcPr>
            <w:tcW w:w="2093" w:type="dxa"/>
          </w:tcPr>
          <w:p w14:paraId="6B723E81" w14:textId="77777777" w:rsidR="007C5671" w:rsidRPr="000B6225" w:rsidRDefault="007C5671" w:rsidP="00D376F4">
            <w:pPr>
              <w:rPr>
                <w:sz w:val="22"/>
                <w:szCs w:val="22"/>
              </w:rPr>
            </w:pPr>
            <w:r w:rsidRPr="000B6225">
              <w:rPr>
                <w:sz w:val="22"/>
                <w:szCs w:val="22"/>
              </w:rPr>
              <w:t>Leave of Absence</w:t>
            </w:r>
          </w:p>
        </w:tc>
        <w:tc>
          <w:tcPr>
            <w:tcW w:w="3402" w:type="dxa"/>
          </w:tcPr>
          <w:p w14:paraId="18D4BB73" w14:textId="77777777" w:rsidR="007C5671" w:rsidRPr="000B6225" w:rsidRDefault="007C5671" w:rsidP="00D376F4">
            <w:pPr>
              <w:rPr>
                <w:sz w:val="22"/>
                <w:szCs w:val="22"/>
              </w:rPr>
            </w:pPr>
            <w:r w:rsidRPr="000B6225">
              <w:rPr>
                <w:sz w:val="22"/>
                <w:szCs w:val="22"/>
              </w:rPr>
              <w:t>Occasionally students require a Leave of Absence from their Study. The procedure and guidance for this is on the Doctoral College Website.</w:t>
            </w:r>
          </w:p>
        </w:tc>
        <w:tc>
          <w:tcPr>
            <w:tcW w:w="3431" w:type="dxa"/>
          </w:tcPr>
          <w:p w14:paraId="3427E380" w14:textId="77777777" w:rsidR="007C5671" w:rsidRPr="000B6225" w:rsidRDefault="007C5671" w:rsidP="00D376F4">
            <w:pPr>
              <w:jc w:val="center"/>
              <w:rPr>
                <w:sz w:val="22"/>
                <w:szCs w:val="22"/>
              </w:rPr>
            </w:pPr>
          </w:p>
        </w:tc>
      </w:tr>
      <w:tr w:rsidR="007C5671" w:rsidRPr="000B6225" w14:paraId="38EA0865" w14:textId="77777777" w:rsidTr="00D376F4">
        <w:tc>
          <w:tcPr>
            <w:tcW w:w="2093" w:type="dxa"/>
          </w:tcPr>
          <w:p w14:paraId="76F7FF41" w14:textId="77777777" w:rsidR="007C5671" w:rsidRPr="000B6225" w:rsidRDefault="007C5671" w:rsidP="00D376F4">
            <w:pPr>
              <w:rPr>
                <w:sz w:val="22"/>
                <w:szCs w:val="22"/>
              </w:rPr>
            </w:pPr>
            <w:r w:rsidRPr="000B6225">
              <w:rPr>
                <w:sz w:val="22"/>
                <w:szCs w:val="22"/>
              </w:rPr>
              <w:t>Payment (if appropriate e.g. Studentship, funding period)</w:t>
            </w:r>
          </w:p>
        </w:tc>
        <w:tc>
          <w:tcPr>
            <w:tcW w:w="3402" w:type="dxa"/>
          </w:tcPr>
          <w:p w14:paraId="23084924" w14:textId="77777777" w:rsidR="007C5671" w:rsidRPr="000B6225" w:rsidRDefault="007C5671" w:rsidP="00D376F4">
            <w:pPr>
              <w:rPr>
                <w:sz w:val="22"/>
                <w:szCs w:val="22"/>
              </w:rPr>
            </w:pPr>
            <w:r w:rsidRPr="000B6225">
              <w:rPr>
                <w:sz w:val="22"/>
                <w:szCs w:val="22"/>
              </w:rPr>
              <w:t>If applicable, check that you understand when and how will be paid your stipend, and when this will cease.</w:t>
            </w:r>
          </w:p>
        </w:tc>
        <w:tc>
          <w:tcPr>
            <w:tcW w:w="3431" w:type="dxa"/>
          </w:tcPr>
          <w:p w14:paraId="0FEAAC8B" w14:textId="77777777" w:rsidR="007C5671" w:rsidRPr="000B6225" w:rsidRDefault="007C5671" w:rsidP="00D376F4">
            <w:pPr>
              <w:jc w:val="center"/>
              <w:rPr>
                <w:sz w:val="22"/>
                <w:szCs w:val="22"/>
              </w:rPr>
            </w:pPr>
          </w:p>
        </w:tc>
      </w:tr>
    </w:tbl>
    <w:p w14:paraId="0550D181" w14:textId="77777777" w:rsidR="007C5671" w:rsidRPr="000B6225" w:rsidRDefault="007C5671" w:rsidP="007C5671">
      <w:pPr>
        <w:spacing w:after="160" w:line="259" w:lineRule="auto"/>
        <w:rPr>
          <w:rFonts w:eastAsia="Calibri"/>
          <w:sz w:val="22"/>
          <w:szCs w:val="22"/>
          <w:lang w:eastAsia="en-US"/>
        </w:rPr>
      </w:pPr>
    </w:p>
    <w:p w14:paraId="0881E7EE"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lastRenderedPageBreak/>
        <w:br w:type="page"/>
      </w:r>
    </w:p>
    <w:p w14:paraId="7AAB536C"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lastRenderedPageBreak/>
        <w:t>Issues and Grievances</w:t>
      </w:r>
      <w:r w:rsidRPr="000B6225">
        <w:rPr>
          <w:rFonts w:eastAsia="Calibri"/>
          <w:sz w:val="22"/>
          <w:szCs w:val="22"/>
          <w:lang w:eastAsia="en-US"/>
        </w:rPr>
        <w:t xml:space="preserve">: </w:t>
      </w:r>
    </w:p>
    <w:p w14:paraId="19AC5EC2"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Loughborough University takes grievance procedures seriously. There are various services on campus where support/signposting can be accessed. An appropriate starting point is Loughborough Students’ Voice which can be found in Loughborough Student’s Union who support with various issues and offer a comprehensive signposting service to other faculties on campus. </w:t>
      </w:r>
    </w:p>
    <w:p w14:paraId="04BBEA28" w14:textId="77777777" w:rsidR="007C5671" w:rsidRPr="000B6225" w:rsidRDefault="007C5671" w:rsidP="007C5671">
      <w:pPr>
        <w:spacing w:after="160" w:line="259" w:lineRule="auto"/>
        <w:rPr>
          <w:rFonts w:eastAsia="Calibri"/>
          <w:sz w:val="22"/>
          <w:szCs w:val="22"/>
          <w:lang w:eastAsia="en-US"/>
        </w:rPr>
      </w:pPr>
    </w:p>
    <w:p w14:paraId="3812C46B" w14:textId="358DD488"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As in any relationship there is a small chance that the relationship between supervisee and supervisor will have difficulties beyond that which is workable. The process for addressing this is highlighted in the Code of Practice</w:t>
      </w:r>
      <w:r w:rsidR="00934711">
        <w:rPr>
          <w:rFonts w:eastAsia="Calibri"/>
          <w:sz w:val="22"/>
          <w:szCs w:val="22"/>
          <w:lang w:eastAsia="en-US"/>
        </w:rPr>
        <w:t xml:space="preserve"> </w:t>
      </w:r>
      <w:bookmarkStart w:id="1" w:name="_Hlk84850842"/>
      <w:r w:rsidR="00934711">
        <w:rPr>
          <w:rFonts w:eastAsia="Calibri"/>
          <w:sz w:val="22"/>
          <w:szCs w:val="22"/>
          <w:lang w:eastAsia="en-US"/>
        </w:rPr>
        <w:t>(</w:t>
      </w:r>
      <w:hyperlink r:id="rId15" w:history="1">
        <w:r w:rsidR="00934711" w:rsidRPr="005306D7">
          <w:rPr>
            <w:rStyle w:val="Hyperlink"/>
            <w:rFonts w:eastAsia="Calibri"/>
            <w:sz w:val="22"/>
            <w:szCs w:val="22"/>
            <w:lang w:eastAsia="en-US"/>
          </w:rPr>
          <w:t>https://www.lboro.ac.uk/services/doctoral-college/essential-information/code-of-practice/</w:t>
        </w:r>
      </w:hyperlink>
      <w:r w:rsidR="00934711">
        <w:rPr>
          <w:rFonts w:eastAsia="Calibri"/>
          <w:sz w:val="22"/>
          <w:szCs w:val="22"/>
          <w:lang w:eastAsia="en-US"/>
        </w:rPr>
        <w:t xml:space="preserve">) </w:t>
      </w:r>
      <w:bookmarkEnd w:id="1"/>
      <w:r w:rsidRPr="000B6225">
        <w:rPr>
          <w:rFonts w:eastAsia="Calibri"/>
          <w:sz w:val="22"/>
          <w:szCs w:val="22"/>
          <w:lang w:eastAsia="en-US"/>
        </w:rPr>
        <w:t xml:space="preserve">but students should seek advice from the appropriate party as outlined in the Code of Practice. </w:t>
      </w:r>
    </w:p>
    <w:p w14:paraId="43060614" w14:textId="77777777" w:rsidR="007C5671" w:rsidRPr="000B6225" w:rsidRDefault="007C5671" w:rsidP="007C5671">
      <w:pPr>
        <w:spacing w:after="160" w:line="259" w:lineRule="auto"/>
        <w:rPr>
          <w:rFonts w:eastAsia="Calibri"/>
          <w:b/>
          <w:sz w:val="22"/>
          <w:szCs w:val="22"/>
          <w:lang w:eastAsia="en-US"/>
        </w:rPr>
      </w:pPr>
      <w:r w:rsidRPr="000B6225">
        <w:rPr>
          <w:rFonts w:eastAsia="Calibri"/>
          <w:b/>
          <w:sz w:val="22"/>
          <w:szCs w:val="22"/>
          <w:lang w:eastAsia="en-US"/>
        </w:rPr>
        <w:t>Points of Contact:</w:t>
      </w:r>
    </w:p>
    <w:p w14:paraId="5923F280"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The table below outlines the different points of contact open to students and are the most relevant people (outside of the supervision process) to support you. Their names should be entered here. </w:t>
      </w:r>
    </w:p>
    <w:tbl>
      <w:tblPr>
        <w:tblStyle w:val="TableGrid"/>
        <w:tblW w:w="0" w:type="auto"/>
        <w:tblLook w:val="04A0" w:firstRow="1" w:lastRow="0" w:firstColumn="1" w:lastColumn="0" w:noHBand="0" w:noVBand="1"/>
      </w:tblPr>
      <w:tblGrid>
        <w:gridCol w:w="4106"/>
        <w:gridCol w:w="4910"/>
      </w:tblGrid>
      <w:tr w:rsidR="007C5671" w:rsidRPr="000B6225" w14:paraId="4DB54F5E" w14:textId="77777777" w:rsidTr="00D376F4">
        <w:tc>
          <w:tcPr>
            <w:tcW w:w="4106" w:type="dxa"/>
          </w:tcPr>
          <w:p w14:paraId="531AEC0B" w14:textId="248FC953" w:rsidR="007C5671" w:rsidRPr="000B6225" w:rsidRDefault="007C5671" w:rsidP="00D376F4">
            <w:pPr>
              <w:rPr>
                <w:sz w:val="22"/>
                <w:szCs w:val="22"/>
              </w:rPr>
            </w:pPr>
            <w:r w:rsidRPr="000B6225">
              <w:rPr>
                <w:sz w:val="22"/>
                <w:szCs w:val="22"/>
              </w:rPr>
              <w:t>Postgraduate Research Administrator</w:t>
            </w:r>
            <w:r w:rsidRPr="000B6225" w:rsidDel="00104E05">
              <w:rPr>
                <w:sz w:val="22"/>
                <w:szCs w:val="22"/>
              </w:rPr>
              <w:t xml:space="preserve"> </w:t>
            </w:r>
            <w:r w:rsidRPr="000B6225">
              <w:rPr>
                <w:sz w:val="22"/>
                <w:szCs w:val="22"/>
              </w:rPr>
              <w:t>(In School)</w:t>
            </w:r>
          </w:p>
        </w:tc>
        <w:tc>
          <w:tcPr>
            <w:tcW w:w="4910" w:type="dxa"/>
          </w:tcPr>
          <w:p w14:paraId="4ADE5024" w14:textId="77777777" w:rsidR="007C5671" w:rsidRPr="000B6225" w:rsidRDefault="007C5671" w:rsidP="00D376F4">
            <w:pPr>
              <w:rPr>
                <w:sz w:val="22"/>
                <w:szCs w:val="22"/>
              </w:rPr>
            </w:pPr>
          </w:p>
        </w:tc>
      </w:tr>
      <w:tr w:rsidR="007C5671" w:rsidRPr="000B6225" w14:paraId="06BF55C5" w14:textId="77777777" w:rsidTr="00D376F4">
        <w:tc>
          <w:tcPr>
            <w:tcW w:w="4106" w:type="dxa"/>
          </w:tcPr>
          <w:p w14:paraId="426E7DBB" w14:textId="3B2B3F55" w:rsidR="007C5671" w:rsidRPr="000B6225" w:rsidRDefault="007C5671" w:rsidP="003C60AB">
            <w:pPr>
              <w:rPr>
                <w:sz w:val="22"/>
                <w:szCs w:val="22"/>
              </w:rPr>
            </w:pPr>
            <w:r w:rsidRPr="000B6225">
              <w:rPr>
                <w:sz w:val="22"/>
                <w:szCs w:val="22"/>
              </w:rPr>
              <w:t>Director of Doctoral Programmes (DDP) (In School)</w:t>
            </w:r>
          </w:p>
        </w:tc>
        <w:tc>
          <w:tcPr>
            <w:tcW w:w="4910" w:type="dxa"/>
          </w:tcPr>
          <w:p w14:paraId="23DA3F69" w14:textId="77777777" w:rsidR="007C5671" w:rsidRPr="000B6225" w:rsidRDefault="007C5671" w:rsidP="00D376F4">
            <w:pPr>
              <w:rPr>
                <w:sz w:val="22"/>
                <w:szCs w:val="22"/>
              </w:rPr>
            </w:pPr>
          </w:p>
        </w:tc>
      </w:tr>
      <w:tr w:rsidR="007C5671" w:rsidRPr="000B6225" w14:paraId="73479A2A" w14:textId="77777777" w:rsidTr="00D376F4">
        <w:tc>
          <w:tcPr>
            <w:tcW w:w="4106" w:type="dxa"/>
          </w:tcPr>
          <w:p w14:paraId="393A2E1F" w14:textId="4283C34B" w:rsidR="007C5671" w:rsidRPr="000B6225" w:rsidRDefault="007C5671" w:rsidP="004E3FA6">
            <w:pPr>
              <w:rPr>
                <w:sz w:val="22"/>
                <w:szCs w:val="22"/>
              </w:rPr>
            </w:pPr>
            <w:r w:rsidRPr="000B6225">
              <w:rPr>
                <w:sz w:val="22"/>
                <w:szCs w:val="22"/>
              </w:rPr>
              <w:t xml:space="preserve">Associate Dean (Research) </w:t>
            </w:r>
            <w:r w:rsidR="004E3FA6">
              <w:rPr>
                <w:sz w:val="22"/>
                <w:szCs w:val="22"/>
              </w:rPr>
              <w:br/>
            </w:r>
            <w:r w:rsidRPr="000B6225">
              <w:rPr>
                <w:sz w:val="22"/>
                <w:szCs w:val="22"/>
              </w:rPr>
              <w:t>(In School)</w:t>
            </w:r>
          </w:p>
        </w:tc>
        <w:tc>
          <w:tcPr>
            <w:tcW w:w="4910" w:type="dxa"/>
          </w:tcPr>
          <w:p w14:paraId="0808394D" w14:textId="77777777" w:rsidR="007C5671" w:rsidRPr="000B6225" w:rsidRDefault="007C5671" w:rsidP="00D376F4">
            <w:pPr>
              <w:rPr>
                <w:sz w:val="22"/>
                <w:szCs w:val="22"/>
              </w:rPr>
            </w:pPr>
          </w:p>
          <w:p w14:paraId="3E8AF0E0" w14:textId="77777777" w:rsidR="007C5671" w:rsidRPr="000B6225" w:rsidRDefault="007C5671" w:rsidP="00D376F4">
            <w:pPr>
              <w:rPr>
                <w:sz w:val="22"/>
                <w:szCs w:val="22"/>
              </w:rPr>
            </w:pPr>
          </w:p>
        </w:tc>
      </w:tr>
      <w:tr w:rsidR="007C5671" w:rsidRPr="000B6225" w14:paraId="5AD1606F" w14:textId="77777777" w:rsidTr="00D376F4">
        <w:tc>
          <w:tcPr>
            <w:tcW w:w="4106" w:type="dxa"/>
          </w:tcPr>
          <w:p w14:paraId="0FD43B97" w14:textId="53E7E2D8" w:rsidR="007C5671" w:rsidRPr="000B6225" w:rsidRDefault="003C60AB" w:rsidP="004E3FA6">
            <w:pPr>
              <w:rPr>
                <w:sz w:val="22"/>
                <w:szCs w:val="22"/>
              </w:rPr>
            </w:pPr>
            <w:r>
              <w:rPr>
                <w:sz w:val="22"/>
                <w:szCs w:val="22"/>
              </w:rPr>
              <w:t>Education</w:t>
            </w:r>
            <w:r w:rsidR="007C5671" w:rsidRPr="000B6225">
              <w:rPr>
                <w:sz w:val="22"/>
                <w:szCs w:val="22"/>
              </w:rPr>
              <w:t xml:space="preserve"> Executive Officer (Loughborough Students Union)</w:t>
            </w:r>
          </w:p>
        </w:tc>
        <w:tc>
          <w:tcPr>
            <w:tcW w:w="4910" w:type="dxa"/>
          </w:tcPr>
          <w:p w14:paraId="5BFED8D6" w14:textId="77777777" w:rsidR="007C5671" w:rsidRPr="000B6225" w:rsidRDefault="007C5671" w:rsidP="00D376F4">
            <w:pPr>
              <w:rPr>
                <w:sz w:val="22"/>
                <w:szCs w:val="22"/>
              </w:rPr>
            </w:pPr>
          </w:p>
        </w:tc>
      </w:tr>
    </w:tbl>
    <w:p w14:paraId="2D6D623C" w14:textId="77777777" w:rsidR="007C5671" w:rsidRPr="000B6225" w:rsidRDefault="007C5671" w:rsidP="007C5671">
      <w:pPr>
        <w:spacing w:after="160" w:line="259" w:lineRule="auto"/>
        <w:rPr>
          <w:rFonts w:eastAsia="Calibri"/>
          <w:sz w:val="22"/>
          <w:szCs w:val="22"/>
          <w:lang w:eastAsia="en-US"/>
        </w:rPr>
      </w:pPr>
    </w:p>
    <w:p w14:paraId="585E5E74" w14:textId="77777777" w:rsidR="007C5671" w:rsidRPr="000B6225" w:rsidRDefault="007C5671" w:rsidP="007C5671">
      <w:pPr>
        <w:spacing w:after="160" w:line="259" w:lineRule="auto"/>
        <w:rPr>
          <w:rFonts w:eastAsia="Calibri"/>
          <w:sz w:val="22"/>
          <w:szCs w:val="22"/>
          <w:u w:val="single"/>
          <w:lang w:eastAsia="en-US"/>
        </w:rPr>
      </w:pPr>
      <w:r w:rsidRPr="000B6225">
        <w:rPr>
          <w:rFonts w:eastAsia="Calibri"/>
          <w:sz w:val="22"/>
          <w:szCs w:val="22"/>
          <w:lang w:eastAsia="en-US"/>
        </w:rPr>
        <w:t>Signature of Student:</w:t>
      </w:r>
    </w:p>
    <w:p w14:paraId="375A6CFF" w14:textId="77777777" w:rsidR="007C5671" w:rsidRPr="000B6225" w:rsidRDefault="007C5671" w:rsidP="007C5671">
      <w:pPr>
        <w:spacing w:after="160" w:line="259" w:lineRule="auto"/>
        <w:rPr>
          <w:rFonts w:eastAsia="Calibri"/>
          <w:sz w:val="22"/>
          <w:szCs w:val="22"/>
          <w:u w:val="single"/>
          <w:lang w:eastAsia="en-US"/>
        </w:rPr>
      </w:pPr>
      <w:r w:rsidRPr="000B6225">
        <w:rPr>
          <w:rFonts w:eastAsia="Calibri"/>
          <w:sz w:val="22"/>
          <w:szCs w:val="22"/>
          <w:lang w:eastAsia="en-US"/>
        </w:rPr>
        <w:t>Date:</w:t>
      </w:r>
    </w:p>
    <w:p w14:paraId="231438D9"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Supervisor 1:</w:t>
      </w:r>
    </w:p>
    <w:p w14:paraId="59D597E0"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Date: </w:t>
      </w:r>
    </w:p>
    <w:p w14:paraId="72304B4E"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Supervisor 2: </w:t>
      </w:r>
    </w:p>
    <w:p w14:paraId="41C5F4DC"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Date:</w:t>
      </w:r>
    </w:p>
    <w:p w14:paraId="624F69C5"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Other Supervisor(s):</w:t>
      </w:r>
    </w:p>
    <w:p w14:paraId="1B99A035" w14:textId="77777777"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Date: </w:t>
      </w:r>
    </w:p>
    <w:p w14:paraId="6FA3CB78" w14:textId="77777777" w:rsidR="007C5671" w:rsidRPr="000B6225" w:rsidRDefault="007C5671" w:rsidP="007C5671">
      <w:pPr>
        <w:spacing w:after="160" w:line="259" w:lineRule="auto"/>
        <w:rPr>
          <w:rFonts w:eastAsia="Calibri"/>
          <w:sz w:val="22"/>
          <w:szCs w:val="22"/>
          <w:lang w:eastAsia="en-US"/>
        </w:rPr>
      </w:pPr>
    </w:p>
    <w:p w14:paraId="79C1BFF7" w14:textId="0D8A1CCD" w:rsidR="007C5671" w:rsidRPr="000B6225" w:rsidRDefault="007C5671" w:rsidP="007C5671">
      <w:pPr>
        <w:spacing w:after="160" w:line="259" w:lineRule="auto"/>
        <w:rPr>
          <w:rFonts w:eastAsia="Calibri"/>
          <w:sz w:val="22"/>
          <w:szCs w:val="22"/>
          <w:lang w:eastAsia="en-US"/>
        </w:rPr>
      </w:pPr>
      <w:r w:rsidRPr="000B6225">
        <w:rPr>
          <w:rFonts w:eastAsia="Calibri"/>
          <w:sz w:val="22"/>
          <w:szCs w:val="22"/>
          <w:lang w:eastAsia="en-US"/>
        </w:rPr>
        <w:t xml:space="preserve">This form should be </w:t>
      </w:r>
      <w:r w:rsidR="003C60AB">
        <w:rPr>
          <w:rFonts w:eastAsia="Calibri"/>
          <w:sz w:val="22"/>
          <w:szCs w:val="22"/>
          <w:lang w:eastAsia="en-US"/>
        </w:rPr>
        <w:t>u</w:t>
      </w:r>
      <w:r w:rsidRPr="000B6225">
        <w:rPr>
          <w:rFonts w:eastAsia="Calibri"/>
          <w:sz w:val="22"/>
          <w:szCs w:val="22"/>
          <w:lang w:eastAsia="en-US"/>
        </w:rPr>
        <w:t>ploaded to Co-tutor by Supervisor 1</w:t>
      </w:r>
    </w:p>
    <w:p w14:paraId="18EE4CDC" w14:textId="77777777" w:rsidR="007C5671" w:rsidRPr="006F1CEF" w:rsidRDefault="007C5671" w:rsidP="007C5671"/>
    <w:p w14:paraId="09075D94" w14:textId="020F4599" w:rsidR="0031443C" w:rsidRDefault="0031443C" w:rsidP="006F1CEF"/>
    <w:p w14:paraId="3B8BF6BE" w14:textId="54F181C2" w:rsidR="003F14CD" w:rsidRPr="003F14CD" w:rsidRDefault="003F14CD" w:rsidP="003F14CD">
      <w:pPr>
        <w:jc w:val="right"/>
        <w:rPr>
          <w:color w:val="7F7F7F" w:themeColor="text1" w:themeTint="80"/>
        </w:rPr>
      </w:pPr>
      <w:r w:rsidRPr="003F14CD">
        <w:rPr>
          <w:color w:val="7F7F7F" w:themeColor="text1" w:themeTint="80"/>
        </w:rPr>
        <w:t>Version Updated October 2021</w:t>
      </w:r>
    </w:p>
    <w:sectPr w:rsidR="003F14CD" w:rsidRPr="003F14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FD37" w14:textId="77777777" w:rsidR="00346D9F" w:rsidRDefault="00346D9F" w:rsidP="0034579B">
      <w:pPr>
        <w:spacing w:after="0" w:line="240" w:lineRule="auto"/>
      </w:pPr>
      <w:r>
        <w:separator/>
      </w:r>
    </w:p>
  </w:endnote>
  <w:endnote w:type="continuationSeparator" w:id="0">
    <w:p w14:paraId="6EC9AA4A" w14:textId="77777777" w:rsidR="00346D9F" w:rsidRDefault="00346D9F" w:rsidP="0034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3F75" w14:textId="77777777" w:rsidR="00346D9F" w:rsidRDefault="00346D9F" w:rsidP="0034579B">
      <w:pPr>
        <w:spacing w:after="0" w:line="240" w:lineRule="auto"/>
      </w:pPr>
      <w:r>
        <w:separator/>
      </w:r>
    </w:p>
  </w:footnote>
  <w:footnote w:type="continuationSeparator" w:id="0">
    <w:p w14:paraId="51EECE3E" w14:textId="77777777" w:rsidR="00346D9F" w:rsidRDefault="00346D9F" w:rsidP="00345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671"/>
    <w:rsid w:val="00175B1E"/>
    <w:rsid w:val="0031443C"/>
    <w:rsid w:val="0034579B"/>
    <w:rsid w:val="00346D9F"/>
    <w:rsid w:val="003843C5"/>
    <w:rsid w:val="003A6264"/>
    <w:rsid w:val="003C60AB"/>
    <w:rsid w:val="003F14CD"/>
    <w:rsid w:val="004E3FA6"/>
    <w:rsid w:val="00530145"/>
    <w:rsid w:val="00651A6D"/>
    <w:rsid w:val="006F1CEF"/>
    <w:rsid w:val="007C5671"/>
    <w:rsid w:val="00934711"/>
    <w:rsid w:val="00D11FB7"/>
    <w:rsid w:val="00D242FD"/>
    <w:rsid w:val="00ED64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42CE"/>
  <w15:docId w15:val="{FA7DFAD5-008D-48BC-8044-591C249F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7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67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79B"/>
    <w:rPr>
      <w:rFonts w:ascii="Arial" w:hAnsi="Arial" w:cs="Arial"/>
      <w:sz w:val="24"/>
      <w:szCs w:val="24"/>
    </w:rPr>
  </w:style>
  <w:style w:type="paragraph" w:styleId="Footer">
    <w:name w:val="footer"/>
    <w:basedOn w:val="Normal"/>
    <w:link w:val="FooterChar"/>
    <w:uiPriority w:val="99"/>
    <w:unhideWhenUsed/>
    <w:rsid w:val="00345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79B"/>
    <w:rPr>
      <w:rFonts w:ascii="Arial" w:hAnsi="Arial" w:cs="Arial"/>
      <w:sz w:val="24"/>
      <w:szCs w:val="24"/>
    </w:rPr>
  </w:style>
  <w:style w:type="character" w:styleId="Hyperlink">
    <w:name w:val="Hyperlink"/>
    <w:basedOn w:val="DefaultParagraphFont"/>
    <w:uiPriority w:val="99"/>
    <w:unhideWhenUsed/>
    <w:rsid w:val="00175B1E"/>
    <w:rPr>
      <w:color w:val="0000FF" w:themeColor="hyperlink"/>
      <w:u w:val="single"/>
    </w:rPr>
  </w:style>
  <w:style w:type="character" w:styleId="UnresolvedMention">
    <w:name w:val="Unresolved Mention"/>
    <w:basedOn w:val="DefaultParagraphFont"/>
    <w:uiPriority w:val="99"/>
    <w:semiHidden/>
    <w:unhideWhenUsed/>
    <w:rsid w:val="00175B1E"/>
    <w:rPr>
      <w:color w:val="605E5C"/>
      <w:shd w:val="clear" w:color="auto" w:fill="E1DFDD"/>
    </w:rPr>
  </w:style>
  <w:style w:type="character" w:styleId="FollowedHyperlink">
    <w:name w:val="FollowedHyperlink"/>
    <w:basedOn w:val="DefaultParagraphFont"/>
    <w:uiPriority w:val="99"/>
    <w:semiHidden/>
    <w:unhideWhenUsed/>
    <w:rsid w:val="00D11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oro.ac.uk/services/health-safety/topics/fire/" TargetMode="External"/><Relationship Id="rId13" Type="http://schemas.openxmlformats.org/officeDocument/2006/relationships/hyperlink" Target="https://www.lboro.ac.uk/research/support/publishing/institutional-repository/" TargetMode="External"/><Relationship Id="rId3" Type="http://schemas.openxmlformats.org/officeDocument/2006/relationships/webSettings" Target="webSettings.xml"/><Relationship Id="rId7" Type="http://schemas.openxmlformats.org/officeDocument/2006/relationships/hyperlink" Target="https://www.lboro.ac.uk/services/health-safety/" TargetMode="External"/><Relationship Id="rId12" Type="http://schemas.openxmlformats.org/officeDocument/2006/relationships/hyperlink" Target="https://internal.lboro.ac.uk/info/research-support/funding/data-management-pla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cdp.lboro.ac.uk/" TargetMode="External"/><Relationship Id="rId11" Type="http://schemas.openxmlformats.org/officeDocument/2006/relationships/hyperlink" Target="https://learn.lboro.ac.uk/course/view.php?id=13809" TargetMode="External"/><Relationship Id="rId5" Type="http://schemas.openxmlformats.org/officeDocument/2006/relationships/endnotes" Target="endnotes.xml"/><Relationship Id="rId15" Type="http://schemas.openxmlformats.org/officeDocument/2006/relationships/hyperlink" Target="https://www.lboro.ac.uk/services/doctoral-college/essential-information/code-of-practice/" TargetMode="External"/><Relationship Id="rId10" Type="http://schemas.openxmlformats.org/officeDocument/2006/relationships/hyperlink" Target="https://www.lboro.ac.uk/services/hr/support/occupational-health/displayscreenequipmentdse/" TargetMode="External"/><Relationship Id="rId4" Type="http://schemas.openxmlformats.org/officeDocument/2006/relationships/footnotes" Target="footnotes.xml"/><Relationship Id="rId9" Type="http://schemas.openxmlformats.org/officeDocument/2006/relationships/hyperlink" Target="https://www.lboro.ac.uk/services/health-safety/" TargetMode="External"/><Relationship Id="rId14" Type="http://schemas.openxmlformats.org/officeDocument/2006/relationships/hyperlink" Target="https://learn.lboro.ac.uk/enrol/index.php?id=13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Stanley</dc:creator>
  <cp:lastModifiedBy>Jill Thurman</cp:lastModifiedBy>
  <cp:revision>3</cp:revision>
  <dcterms:created xsi:type="dcterms:W3CDTF">2023-03-29T10:34:00Z</dcterms:created>
  <dcterms:modified xsi:type="dcterms:W3CDTF">2023-03-29T11:09:00Z</dcterms:modified>
</cp:coreProperties>
</file>